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F7F581" w14:textId="77777777" w:rsidR="00FD60BB" w:rsidRPr="00F13DD3" w:rsidRDefault="009A4F71">
      <w:pPr>
        <w:jc w:val="center"/>
        <w:rPr>
          <w:b/>
          <w:sz w:val="20"/>
          <w:szCs w:val="20"/>
          <w:lang w:val="en-GB"/>
        </w:rPr>
      </w:pPr>
      <w:bookmarkStart w:id="0" w:name="_GoBack"/>
      <w:bookmarkEnd w:id="0"/>
      <w:r w:rsidRPr="00F13DD3">
        <w:rPr>
          <w:b/>
          <w:sz w:val="20"/>
          <w:szCs w:val="20"/>
          <w:lang w:val="en-GB"/>
        </w:rPr>
        <w:t>SCENARIO FOR EDUCATIONAL CLASSES</w:t>
      </w:r>
    </w:p>
    <w:p w14:paraId="683355D5" w14:textId="7C422D30" w:rsidR="00CB3DA8" w:rsidRPr="000F0C30" w:rsidRDefault="00CB3DA8">
      <w:pPr>
        <w:jc w:val="center"/>
        <w:rPr>
          <w:b/>
          <w:sz w:val="28"/>
          <w:szCs w:val="28"/>
          <w:lang w:val="en-GB"/>
        </w:rPr>
      </w:pPr>
      <w:r w:rsidRPr="000F0C30">
        <w:rPr>
          <w:b/>
          <w:sz w:val="28"/>
          <w:szCs w:val="28"/>
          <w:lang w:val="en-GB"/>
        </w:rPr>
        <w:t>Gender Equality and the protection of women in Public Intern</w:t>
      </w:r>
      <w:r w:rsidR="00F13DD3" w:rsidRPr="000F0C30">
        <w:rPr>
          <w:b/>
          <w:sz w:val="28"/>
          <w:szCs w:val="28"/>
          <w:lang w:val="en-GB"/>
        </w:rPr>
        <w:t>a</w:t>
      </w:r>
      <w:r w:rsidRPr="000F0C30">
        <w:rPr>
          <w:b/>
          <w:sz w:val="28"/>
          <w:szCs w:val="28"/>
          <w:lang w:val="en-GB"/>
        </w:rPr>
        <w:t>tiona</w:t>
      </w:r>
      <w:r w:rsidR="00F13DD3" w:rsidRPr="000F0C30">
        <w:rPr>
          <w:b/>
          <w:sz w:val="28"/>
          <w:szCs w:val="28"/>
          <w:lang w:val="en-GB"/>
        </w:rPr>
        <w:t>l</w:t>
      </w:r>
      <w:r w:rsidRPr="000F0C30">
        <w:rPr>
          <w:b/>
          <w:sz w:val="28"/>
          <w:szCs w:val="28"/>
          <w:lang w:val="en-GB"/>
        </w:rPr>
        <w:t xml:space="preserve"> Law</w:t>
      </w:r>
    </w:p>
    <w:p w14:paraId="78922BF4" w14:textId="77777777" w:rsidR="00FD60BB" w:rsidRPr="00F13DD3" w:rsidRDefault="009A4F71">
      <w:pPr>
        <w:rPr>
          <w:b/>
          <w:sz w:val="20"/>
          <w:szCs w:val="20"/>
          <w:lang w:val="en-GB"/>
        </w:rPr>
      </w:pPr>
      <w:r w:rsidRPr="00F13DD3">
        <w:rPr>
          <w:b/>
          <w:sz w:val="20"/>
          <w:szCs w:val="20"/>
          <w:lang w:val="en-GB"/>
        </w:rPr>
        <w:t>PART 1. OF SCENARIO</w:t>
      </w:r>
    </w:p>
    <w:tbl>
      <w:tblPr>
        <w:tblStyle w:val="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7"/>
        <w:gridCol w:w="7225"/>
      </w:tblGrid>
      <w:tr w:rsidR="00FD60BB" w:rsidRPr="00F13DD3" w14:paraId="02C11FFB" w14:textId="77777777">
        <w:tc>
          <w:tcPr>
            <w:tcW w:w="1837" w:type="dxa"/>
            <w:shd w:val="clear" w:color="auto" w:fill="D9D9D9"/>
          </w:tcPr>
          <w:p w14:paraId="1AAD2488" w14:textId="641D1B0A" w:rsidR="00FD60BB" w:rsidRPr="00F13DD3" w:rsidRDefault="009A4F71">
            <w:pPr>
              <w:rPr>
                <w:b/>
                <w:sz w:val="20"/>
                <w:szCs w:val="20"/>
                <w:lang w:val="en-GB"/>
              </w:rPr>
            </w:pPr>
            <w:r w:rsidRPr="00F13DD3">
              <w:rPr>
                <w:b/>
                <w:sz w:val="20"/>
                <w:szCs w:val="20"/>
                <w:lang w:val="en-GB"/>
              </w:rPr>
              <w:t>THEME OF CLASSES</w:t>
            </w:r>
          </w:p>
        </w:tc>
        <w:tc>
          <w:tcPr>
            <w:tcW w:w="7225" w:type="dxa"/>
          </w:tcPr>
          <w:p w14:paraId="1F658F46" w14:textId="6A6A8FF8" w:rsidR="00FD60BB" w:rsidRPr="00F13DD3" w:rsidRDefault="009A4F71">
            <w:pPr>
              <w:rPr>
                <w:i/>
                <w:lang w:val="en-GB"/>
              </w:rPr>
            </w:pPr>
            <w:r w:rsidRPr="00F13DD3">
              <w:rPr>
                <w:i/>
                <w:lang w:val="en-GB"/>
              </w:rPr>
              <w:t xml:space="preserve">Legal obligations in </w:t>
            </w:r>
            <w:r w:rsidR="00CB3DA8" w:rsidRPr="00F13DD3">
              <w:rPr>
                <w:i/>
                <w:lang w:val="en-GB"/>
              </w:rPr>
              <w:t xml:space="preserve">Public </w:t>
            </w:r>
            <w:r w:rsidRPr="00F13DD3">
              <w:rPr>
                <w:i/>
                <w:lang w:val="en-GB"/>
              </w:rPr>
              <w:t>International</w:t>
            </w:r>
            <w:r w:rsidR="001D448E" w:rsidRPr="00F13DD3">
              <w:rPr>
                <w:i/>
                <w:lang w:val="en-GB"/>
              </w:rPr>
              <w:t xml:space="preserve"> Law </w:t>
            </w:r>
            <w:r w:rsidRPr="00F13DD3">
              <w:rPr>
                <w:i/>
                <w:lang w:val="en-GB"/>
              </w:rPr>
              <w:t>regarding gender equality</w:t>
            </w:r>
            <w:r w:rsidR="001D448E" w:rsidRPr="00F13DD3">
              <w:rPr>
                <w:i/>
                <w:lang w:val="en-GB"/>
              </w:rPr>
              <w:t xml:space="preserve"> and implementation of international legal obligations in national la</w:t>
            </w:r>
            <w:r w:rsidR="0001423C" w:rsidRPr="00F13DD3">
              <w:rPr>
                <w:i/>
                <w:lang w:val="en-GB"/>
              </w:rPr>
              <w:t>w</w:t>
            </w:r>
          </w:p>
          <w:p w14:paraId="1F44EFDB" w14:textId="77777777" w:rsidR="0001423C" w:rsidRDefault="0001423C">
            <w:pPr>
              <w:rPr>
                <w:i/>
                <w:lang w:val="en-GB"/>
              </w:rPr>
            </w:pPr>
            <w:r w:rsidRPr="00F13DD3">
              <w:rPr>
                <w:i/>
                <w:lang w:val="en-GB"/>
              </w:rPr>
              <w:t xml:space="preserve">The role of the UN and UN fora </w:t>
            </w:r>
            <w:r w:rsidR="00796AD9" w:rsidRPr="00F13DD3">
              <w:rPr>
                <w:i/>
                <w:lang w:val="en-GB"/>
              </w:rPr>
              <w:t xml:space="preserve">in the </w:t>
            </w:r>
            <w:r w:rsidRPr="00F13DD3">
              <w:rPr>
                <w:i/>
                <w:lang w:val="en-GB"/>
              </w:rPr>
              <w:t>protection of women’s rights with a focus on gender equality</w:t>
            </w:r>
            <w:r w:rsidR="00A23A87" w:rsidRPr="00F13DD3">
              <w:rPr>
                <w:i/>
                <w:lang w:val="en-GB"/>
              </w:rPr>
              <w:t>, protection of women from violence and sexual harassment</w:t>
            </w:r>
          </w:p>
          <w:p w14:paraId="7F5F36AA" w14:textId="133CD1AF" w:rsidR="00F13DD3" w:rsidRPr="00F13DD3" w:rsidRDefault="00F13DD3">
            <w:pPr>
              <w:rPr>
                <w:i/>
                <w:lang w:val="en-GB"/>
              </w:rPr>
            </w:pPr>
          </w:p>
        </w:tc>
      </w:tr>
      <w:tr w:rsidR="00FD60BB" w:rsidRPr="00F13DD3" w14:paraId="055C6DE9" w14:textId="77777777">
        <w:tc>
          <w:tcPr>
            <w:tcW w:w="1837" w:type="dxa"/>
            <w:shd w:val="clear" w:color="auto" w:fill="D9D9D9"/>
          </w:tcPr>
          <w:p w14:paraId="45F49C5A" w14:textId="77777777" w:rsidR="00FD60BB" w:rsidRPr="00F13DD3" w:rsidRDefault="009A4F71">
            <w:pPr>
              <w:rPr>
                <w:b/>
                <w:sz w:val="20"/>
                <w:szCs w:val="20"/>
                <w:lang w:val="en-GB"/>
              </w:rPr>
            </w:pPr>
            <w:r w:rsidRPr="00F13DD3">
              <w:rPr>
                <w:b/>
                <w:sz w:val="20"/>
                <w:szCs w:val="20"/>
                <w:lang w:val="en-GB"/>
              </w:rPr>
              <w:t>TOPIC</w:t>
            </w:r>
          </w:p>
        </w:tc>
        <w:tc>
          <w:tcPr>
            <w:tcW w:w="7225" w:type="dxa"/>
          </w:tcPr>
          <w:p w14:paraId="541EFD11" w14:textId="2BC05898" w:rsidR="00FD60BB" w:rsidRPr="00F13DD3" w:rsidRDefault="00090B61">
            <w:pPr>
              <w:rPr>
                <w:i/>
                <w:lang w:val="en-GB"/>
              </w:rPr>
            </w:pPr>
            <w:r w:rsidRPr="00F13DD3">
              <w:rPr>
                <w:i/>
                <w:lang w:val="en-GB"/>
              </w:rPr>
              <w:t>The lecture deals with g</w:t>
            </w:r>
            <w:r w:rsidR="009A4F71" w:rsidRPr="00F13DD3">
              <w:rPr>
                <w:i/>
                <w:lang w:val="en-GB"/>
              </w:rPr>
              <w:t xml:space="preserve">ender equality law, </w:t>
            </w:r>
            <w:r w:rsidRPr="00F13DD3">
              <w:rPr>
                <w:i/>
                <w:lang w:val="en-GB"/>
              </w:rPr>
              <w:t xml:space="preserve">its </w:t>
            </w:r>
            <w:r w:rsidR="009A4F71" w:rsidRPr="00F13DD3">
              <w:rPr>
                <w:i/>
                <w:lang w:val="en-GB"/>
              </w:rPr>
              <w:t xml:space="preserve">practical implementation, </w:t>
            </w:r>
            <w:r w:rsidRPr="00F13DD3">
              <w:rPr>
                <w:i/>
                <w:lang w:val="en-GB"/>
              </w:rPr>
              <w:t xml:space="preserve">with </w:t>
            </w:r>
            <w:r w:rsidR="009A4F71" w:rsidRPr="00F13DD3">
              <w:rPr>
                <w:i/>
                <w:lang w:val="en-GB"/>
              </w:rPr>
              <w:t>remedies</w:t>
            </w:r>
            <w:r w:rsidRPr="00F13DD3">
              <w:rPr>
                <w:i/>
                <w:lang w:val="en-GB"/>
              </w:rPr>
              <w:t xml:space="preserve"> and </w:t>
            </w:r>
            <w:r w:rsidR="009A4F71" w:rsidRPr="00F13DD3">
              <w:rPr>
                <w:i/>
                <w:lang w:val="en-GB"/>
              </w:rPr>
              <w:t>consequences</w:t>
            </w:r>
            <w:r w:rsidR="001D448E" w:rsidRPr="00F13DD3">
              <w:rPr>
                <w:i/>
                <w:lang w:val="en-GB"/>
              </w:rPr>
              <w:t xml:space="preserve"> of the non </w:t>
            </w:r>
            <w:r w:rsidR="00F13DD3" w:rsidRPr="00F13DD3">
              <w:rPr>
                <w:i/>
                <w:lang w:val="en-GB"/>
              </w:rPr>
              <w:t>fulfilment</w:t>
            </w:r>
            <w:r w:rsidR="001D448E" w:rsidRPr="00F13DD3">
              <w:rPr>
                <w:i/>
                <w:lang w:val="en-GB"/>
              </w:rPr>
              <w:t xml:space="preserve"> of intern</w:t>
            </w:r>
            <w:r w:rsidR="00F13DD3">
              <w:rPr>
                <w:i/>
                <w:lang w:val="en-GB"/>
              </w:rPr>
              <w:t>a</w:t>
            </w:r>
            <w:r w:rsidR="001D448E" w:rsidRPr="00F13DD3">
              <w:rPr>
                <w:i/>
                <w:lang w:val="en-GB"/>
              </w:rPr>
              <w:t>tional obligations</w:t>
            </w:r>
            <w:r w:rsidRPr="00F13DD3">
              <w:rPr>
                <w:i/>
                <w:lang w:val="en-GB"/>
              </w:rPr>
              <w:t>.</w:t>
            </w:r>
            <w:r w:rsidR="001D448E" w:rsidRPr="00F13DD3">
              <w:rPr>
                <w:i/>
                <w:lang w:val="en-GB"/>
              </w:rPr>
              <w:t xml:space="preserve"> </w:t>
            </w:r>
          </w:p>
          <w:p w14:paraId="75CCBA0E" w14:textId="12260326" w:rsidR="00677639" w:rsidRPr="00F13DD3" w:rsidRDefault="00090B61" w:rsidP="00F13DD3">
            <w:pPr>
              <w:rPr>
                <w:i/>
                <w:lang w:val="en-GB"/>
              </w:rPr>
            </w:pPr>
            <w:r w:rsidRPr="00F13DD3">
              <w:rPr>
                <w:i/>
                <w:lang w:val="en-GB"/>
              </w:rPr>
              <w:t xml:space="preserve">The course </w:t>
            </w:r>
            <w:r w:rsidR="00F13DD3" w:rsidRPr="00F13DD3">
              <w:rPr>
                <w:i/>
                <w:lang w:val="en-GB"/>
              </w:rPr>
              <w:t>specifically</w:t>
            </w:r>
            <w:r w:rsidRPr="00F13DD3">
              <w:rPr>
                <w:i/>
                <w:lang w:val="en-GB"/>
              </w:rPr>
              <w:t xml:space="preserve"> </w:t>
            </w:r>
            <w:r w:rsidRPr="00F13DD3">
              <w:rPr>
                <w:rFonts w:asciiTheme="minorHAnsi" w:hAnsiTheme="minorHAnsi" w:cstheme="minorHAnsi"/>
                <w:i/>
                <w:lang w:val="en-GB"/>
              </w:rPr>
              <w:t>refers to the c</w:t>
            </w:r>
            <w:r w:rsidR="00CB3DA8" w:rsidRPr="00F13DD3">
              <w:rPr>
                <w:rFonts w:asciiTheme="minorHAnsi" w:hAnsiTheme="minorHAnsi" w:cstheme="minorHAnsi"/>
                <w:i/>
                <w:lang w:val="en-GB"/>
              </w:rPr>
              <w:t>ontent of the legal obligations</w:t>
            </w:r>
            <w:r w:rsidRPr="00F13DD3">
              <w:rPr>
                <w:rFonts w:asciiTheme="minorHAnsi" w:hAnsiTheme="minorHAnsi" w:cstheme="minorHAnsi"/>
                <w:i/>
                <w:lang w:val="en-GB"/>
              </w:rPr>
              <w:t xml:space="preserve">, including the </w:t>
            </w:r>
            <w:r w:rsidR="00CB3DA8" w:rsidRPr="00F13DD3">
              <w:rPr>
                <w:rFonts w:asciiTheme="minorHAnsi" w:hAnsiTheme="minorHAnsi" w:cstheme="minorHAnsi"/>
                <w:i/>
                <w:lang w:val="en-GB"/>
              </w:rPr>
              <w:t>CEDA</w:t>
            </w:r>
            <w:r w:rsidR="0001423C" w:rsidRPr="00F13DD3">
              <w:rPr>
                <w:rFonts w:asciiTheme="minorHAnsi" w:hAnsiTheme="minorHAnsi" w:cstheme="minorHAnsi"/>
                <w:i/>
                <w:lang w:val="en-GB"/>
              </w:rPr>
              <w:t>W</w:t>
            </w:r>
            <w:r w:rsidR="00CB3DA8" w:rsidRPr="00F13DD3">
              <w:rPr>
                <w:rFonts w:asciiTheme="minorHAnsi" w:hAnsiTheme="minorHAnsi" w:cstheme="minorHAnsi"/>
                <w:i/>
                <w:lang w:val="en-GB"/>
              </w:rPr>
              <w:t xml:space="preserve"> </w:t>
            </w:r>
            <w:r w:rsidR="00F13DD3" w:rsidRPr="00F13DD3">
              <w:rPr>
                <w:rFonts w:asciiTheme="minorHAnsi" w:hAnsiTheme="minorHAnsi" w:cstheme="minorHAnsi"/>
                <w:i/>
                <w:lang w:val="en-GB"/>
              </w:rPr>
              <w:t>(</w:t>
            </w:r>
            <w:r w:rsidR="00CB3DA8" w:rsidRPr="00F13DD3">
              <w:rPr>
                <w:rFonts w:asciiTheme="minorHAnsi" w:hAnsiTheme="minorHAnsi" w:cstheme="minorHAnsi"/>
                <w:i/>
                <w:lang w:val="en-GB"/>
              </w:rPr>
              <w:t xml:space="preserve">Convention on the </w:t>
            </w:r>
            <w:r w:rsidR="00F13DD3" w:rsidRPr="00F13DD3">
              <w:rPr>
                <w:rFonts w:asciiTheme="minorHAnsi" w:hAnsiTheme="minorHAnsi" w:cstheme="minorHAnsi"/>
                <w:i/>
                <w:lang w:val="en-GB"/>
              </w:rPr>
              <w:t>Elimination</w:t>
            </w:r>
            <w:r w:rsidR="00CB3DA8" w:rsidRPr="00F13DD3">
              <w:rPr>
                <w:rFonts w:asciiTheme="minorHAnsi" w:hAnsiTheme="minorHAnsi" w:cstheme="minorHAnsi"/>
                <w:i/>
                <w:lang w:val="en-GB"/>
              </w:rPr>
              <w:t xml:space="preserve"> of all Forms of Discrimination against Women</w:t>
            </w:r>
            <w:r w:rsidR="00F13DD3" w:rsidRPr="00F13DD3">
              <w:rPr>
                <w:rFonts w:asciiTheme="minorHAnsi" w:hAnsiTheme="minorHAnsi" w:cstheme="minorHAnsi"/>
                <w:i/>
                <w:lang w:val="en-GB"/>
              </w:rPr>
              <w:t>)</w:t>
            </w:r>
            <w:r w:rsidRPr="00F13DD3">
              <w:rPr>
                <w:rFonts w:asciiTheme="minorHAnsi" w:hAnsiTheme="minorHAnsi" w:cstheme="minorHAnsi"/>
                <w:i/>
                <w:lang w:val="en-GB"/>
              </w:rPr>
              <w:t xml:space="preserve"> and the </w:t>
            </w:r>
            <w:r w:rsidR="00677639" w:rsidRPr="00F13DD3">
              <w:rPr>
                <w:rFonts w:asciiTheme="minorHAnsi" w:hAnsiTheme="minorHAnsi" w:cstheme="minorHAnsi"/>
                <w:i/>
                <w:lang w:val="en-GB"/>
              </w:rPr>
              <w:t>Istanbul Convention</w:t>
            </w:r>
            <w:r w:rsidR="00F13DD3" w:rsidRPr="00F13DD3">
              <w:rPr>
                <w:rFonts w:asciiTheme="minorHAnsi" w:hAnsiTheme="minorHAnsi" w:cstheme="minorHAnsi"/>
                <w:i/>
                <w:lang w:val="en-GB"/>
              </w:rPr>
              <w:t xml:space="preserve"> (</w:t>
            </w:r>
            <w:r w:rsidR="00F13DD3" w:rsidRPr="00F13DD3">
              <w:rPr>
                <w:rFonts w:asciiTheme="minorHAnsi" w:hAnsiTheme="minorHAnsi" w:cstheme="minorHAnsi"/>
                <w:color w:val="161616"/>
                <w:shd w:val="clear" w:color="auto" w:fill="FFFFFF"/>
              </w:rPr>
              <w:t xml:space="preserve">Convention </w:t>
            </w:r>
            <w:r w:rsidR="00F13DD3" w:rsidRPr="00F13DD3">
              <w:rPr>
                <w:rFonts w:asciiTheme="minorHAnsi" w:hAnsiTheme="minorHAnsi" w:cstheme="minorHAnsi"/>
                <w:i/>
                <w:iCs/>
                <w:color w:val="161616"/>
                <w:shd w:val="clear" w:color="auto" w:fill="FFFFFF"/>
              </w:rPr>
              <w:t>on preventing and combating violence against women and domestic violence)</w:t>
            </w:r>
            <w:r w:rsidRPr="00F13DD3">
              <w:rPr>
                <w:rFonts w:asciiTheme="minorHAnsi" w:hAnsiTheme="minorHAnsi" w:cstheme="minorHAnsi"/>
                <w:i/>
                <w:iCs/>
                <w:lang w:val="en-GB"/>
              </w:rPr>
              <w:t>.</w:t>
            </w:r>
            <w:r w:rsidRPr="00F13DD3">
              <w:rPr>
                <w:rFonts w:asciiTheme="minorHAnsi" w:hAnsiTheme="minorHAnsi" w:cstheme="minorHAnsi"/>
                <w:i/>
                <w:lang w:val="en-GB"/>
              </w:rPr>
              <w:t xml:space="preserve"> It also briefly mentions other regional instruments like the Maputo Protocol in Africa and</w:t>
            </w:r>
            <w:r w:rsidRPr="00F13DD3">
              <w:rPr>
                <w:i/>
                <w:lang w:val="en-GB"/>
              </w:rPr>
              <w:t xml:space="preserve"> the Convention of Belem do Para.</w:t>
            </w:r>
            <w:r w:rsidR="00677639" w:rsidRPr="00F13DD3">
              <w:rPr>
                <w:i/>
                <w:lang w:val="en-GB"/>
              </w:rPr>
              <w:t xml:space="preserve"> </w:t>
            </w:r>
          </w:p>
          <w:p w14:paraId="5BF3F9E7" w14:textId="77777777" w:rsidR="001B4ED0" w:rsidRDefault="001B4ED0">
            <w:pPr>
              <w:rPr>
                <w:i/>
                <w:lang w:val="en-GB"/>
              </w:rPr>
            </w:pPr>
          </w:p>
          <w:p w14:paraId="1A3C54F3" w14:textId="3575765F" w:rsidR="000716DE" w:rsidRPr="00F13DD3" w:rsidRDefault="000716DE">
            <w:pPr>
              <w:rPr>
                <w:i/>
                <w:lang w:val="en-GB"/>
              </w:rPr>
            </w:pPr>
            <w:r w:rsidRPr="00F13DD3">
              <w:rPr>
                <w:i/>
                <w:lang w:val="en-GB"/>
              </w:rPr>
              <w:t>The lecture also covers non</w:t>
            </w:r>
            <w:r w:rsidR="000F0C30">
              <w:rPr>
                <w:i/>
                <w:lang w:val="en-GB"/>
              </w:rPr>
              <w:t>-</w:t>
            </w:r>
            <w:r w:rsidR="00F13DD3" w:rsidRPr="00F13DD3">
              <w:rPr>
                <w:i/>
                <w:lang w:val="en-GB"/>
              </w:rPr>
              <w:t>discrimination</w:t>
            </w:r>
            <w:r w:rsidRPr="00F13DD3">
              <w:rPr>
                <w:i/>
                <w:lang w:val="en-GB"/>
              </w:rPr>
              <w:t xml:space="preserve"> prov</w:t>
            </w:r>
            <w:r w:rsidR="00F13DD3">
              <w:rPr>
                <w:i/>
                <w:lang w:val="en-GB"/>
              </w:rPr>
              <w:t>i</w:t>
            </w:r>
            <w:r w:rsidRPr="00F13DD3">
              <w:rPr>
                <w:i/>
                <w:lang w:val="en-GB"/>
              </w:rPr>
              <w:t>sions in the ECHR and its Protocol No. 12 and the case law of the Euro</w:t>
            </w:r>
            <w:r w:rsidR="00F13DD3">
              <w:rPr>
                <w:i/>
                <w:lang w:val="en-GB"/>
              </w:rPr>
              <w:t>p</w:t>
            </w:r>
            <w:r w:rsidRPr="00F13DD3">
              <w:rPr>
                <w:i/>
                <w:lang w:val="en-GB"/>
              </w:rPr>
              <w:t>ean Court of Human Rights.</w:t>
            </w:r>
          </w:p>
          <w:p w14:paraId="43DF53E3" w14:textId="6DDCC52E" w:rsidR="00FD60BB" w:rsidRPr="00F13DD3" w:rsidRDefault="00A23A87">
            <w:pPr>
              <w:rPr>
                <w:i/>
                <w:lang w:val="en-GB"/>
              </w:rPr>
            </w:pPr>
            <w:r w:rsidRPr="00F13DD3">
              <w:rPr>
                <w:i/>
                <w:lang w:val="en-GB"/>
              </w:rPr>
              <w:t>A specific topic which includes the resea</w:t>
            </w:r>
            <w:r w:rsidR="00F13DD3">
              <w:rPr>
                <w:i/>
                <w:lang w:val="en-GB"/>
              </w:rPr>
              <w:t>r</w:t>
            </w:r>
            <w:r w:rsidRPr="00F13DD3">
              <w:rPr>
                <w:i/>
                <w:lang w:val="en-GB"/>
              </w:rPr>
              <w:t xml:space="preserve">ch results from the GEPARD project: </w:t>
            </w:r>
            <w:r w:rsidR="009A4F71" w:rsidRPr="00F13DD3">
              <w:rPr>
                <w:i/>
                <w:lang w:val="en-GB"/>
              </w:rPr>
              <w:t>What are the options to reach gender equality in academia?</w:t>
            </w:r>
            <w:r w:rsidR="0001423C" w:rsidRPr="00F13DD3">
              <w:rPr>
                <w:i/>
                <w:lang w:val="en-GB"/>
              </w:rPr>
              <w:t xml:space="preserve"> </w:t>
            </w:r>
          </w:p>
          <w:p w14:paraId="69A1F5B7" w14:textId="77777777" w:rsidR="00FD60BB" w:rsidRPr="00F13DD3" w:rsidRDefault="00FD60BB">
            <w:pPr>
              <w:rPr>
                <w:lang w:val="en-GB"/>
              </w:rPr>
            </w:pPr>
          </w:p>
        </w:tc>
      </w:tr>
      <w:tr w:rsidR="00FD60BB" w:rsidRPr="00F13DD3" w14:paraId="4BCE08A0" w14:textId="77777777">
        <w:tc>
          <w:tcPr>
            <w:tcW w:w="1837" w:type="dxa"/>
            <w:shd w:val="clear" w:color="auto" w:fill="D9D9D9"/>
          </w:tcPr>
          <w:p w14:paraId="45F143DC" w14:textId="77777777" w:rsidR="00FD60BB" w:rsidRPr="00F13DD3" w:rsidRDefault="009A4F71">
            <w:pPr>
              <w:rPr>
                <w:b/>
                <w:sz w:val="20"/>
                <w:szCs w:val="20"/>
                <w:lang w:val="en-GB"/>
              </w:rPr>
            </w:pPr>
            <w:r w:rsidRPr="00F13DD3">
              <w:rPr>
                <w:b/>
                <w:sz w:val="20"/>
                <w:szCs w:val="20"/>
                <w:lang w:val="en-GB"/>
              </w:rPr>
              <w:t>DURATION OF CLASSES</w:t>
            </w:r>
          </w:p>
        </w:tc>
        <w:tc>
          <w:tcPr>
            <w:tcW w:w="7225" w:type="dxa"/>
          </w:tcPr>
          <w:p w14:paraId="53C51BF3" w14:textId="77777777" w:rsidR="00FD60BB" w:rsidRPr="00F13DD3" w:rsidRDefault="009A4F71">
            <w:pPr>
              <w:rPr>
                <w:i/>
                <w:lang w:val="en-GB"/>
              </w:rPr>
            </w:pPr>
            <w:r w:rsidRPr="00F13DD3">
              <w:rPr>
                <w:i/>
                <w:lang w:val="en-GB"/>
              </w:rPr>
              <w:t>1,5 h</w:t>
            </w:r>
          </w:p>
        </w:tc>
      </w:tr>
      <w:tr w:rsidR="00FD60BB" w:rsidRPr="00F13DD3" w14:paraId="2C212ECD" w14:textId="77777777">
        <w:tc>
          <w:tcPr>
            <w:tcW w:w="1837" w:type="dxa"/>
            <w:shd w:val="clear" w:color="auto" w:fill="D9D9D9"/>
          </w:tcPr>
          <w:p w14:paraId="3A2DC9AD" w14:textId="77777777" w:rsidR="00FD60BB" w:rsidRPr="00F13DD3" w:rsidRDefault="009A4F71">
            <w:pPr>
              <w:rPr>
                <w:b/>
                <w:sz w:val="20"/>
                <w:szCs w:val="20"/>
                <w:lang w:val="en-GB"/>
              </w:rPr>
            </w:pPr>
            <w:r w:rsidRPr="00F13DD3">
              <w:rPr>
                <w:b/>
                <w:sz w:val="20"/>
                <w:szCs w:val="20"/>
                <w:lang w:val="en-GB"/>
              </w:rPr>
              <w:t>MODE</w:t>
            </w:r>
          </w:p>
        </w:tc>
        <w:tc>
          <w:tcPr>
            <w:tcW w:w="7225" w:type="dxa"/>
          </w:tcPr>
          <w:p w14:paraId="099ECCBD" w14:textId="77777777" w:rsidR="00FD60BB" w:rsidRPr="00F13DD3" w:rsidRDefault="009A4F71">
            <w:pPr>
              <w:rPr>
                <w:rFonts w:asciiTheme="minorHAnsi" w:hAnsiTheme="minorHAnsi" w:cstheme="minorHAnsi"/>
                <w:i/>
                <w:lang w:val="en-GB"/>
              </w:rPr>
            </w:pPr>
            <w:r w:rsidRPr="00F13DD3">
              <w:rPr>
                <w:rFonts w:asciiTheme="minorHAnsi" w:eastAsia="Roboto" w:hAnsiTheme="minorHAnsi" w:cstheme="minorHAnsi"/>
                <w:i/>
                <w:color w:val="3C4043"/>
                <w:sz w:val="21"/>
                <w:szCs w:val="21"/>
                <w:highlight w:val="white"/>
                <w:lang w:val="en-GB"/>
              </w:rPr>
              <w:t xml:space="preserve">Physical (face-to-face in class sessions), Online or Hybrid </w:t>
            </w:r>
          </w:p>
        </w:tc>
      </w:tr>
      <w:tr w:rsidR="00FD60BB" w:rsidRPr="00F13DD3" w14:paraId="09B8308E" w14:textId="77777777">
        <w:tc>
          <w:tcPr>
            <w:tcW w:w="1837" w:type="dxa"/>
            <w:shd w:val="clear" w:color="auto" w:fill="D9D9D9"/>
          </w:tcPr>
          <w:p w14:paraId="100D3489" w14:textId="77777777" w:rsidR="00FD60BB" w:rsidRPr="00F13DD3" w:rsidRDefault="009A4F71">
            <w:pPr>
              <w:rPr>
                <w:b/>
                <w:sz w:val="20"/>
                <w:szCs w:val="20"/>
                <w:lang w:val="en-GB"/>
              </w:rPr>
            </w:pPr>
            <w:r w:rsidRPr="00F13DD3">
              <w:rPr>
                <w:b/>
                <w:sz w:val="20"/>
                <w:szCs w:val="20"/>
                <w:lang w:val="en-GB"/>
              </w:rPr>
              <w:t>KEYWORDS</w:t>
            </w:r>
          </w:p>
        </w:tc>
        <w:tc>
          <w:tcPr>
            <w:tcW w:w="7225" w:type="dxa"/>
          </w:tcPr>
          <w:p w14:paraId="65A518E0" w14:textId="39C6FC6B" w:rsidR="00FD60BB" w:rsidRPr="00F13DD3" w:rsidRDefault="00A23A87">
            <w:pPr>
              <w:rPr>
                <w:i/>
                <w:lang w:val="en-GB"/>
              </w:rPr>
            </w:pPr>
            <w:r w:rsidRPr="00F13DD3">
              <w:rPr>
                <w:i/>
                <w:lang w:val="en-GB"/>
              </w:rPr>
              <w:t xml:space="preserve">Gender equality, violence against women, sexual </w:t>
            </w:r>
            <w:r w:rsidR="00F13DD3" w:rsidRPr="00F13DD3">
              <w:rPr>
                <w:i/>
                <w:lang w:val="en-GB"/>
              </w:rPr>
              <w:t>harassment</w:t>
            </w:r>
            <w:r w:rsidRPr="00F13DD3">
              <w:rPr>
                <w:i/>
                <w:lang w:val="en-GB"/>
              </w:rPr>
              <w:t xml:space="preserve">, remedies </w:t>
            </w:r>
            <w:r w:rsidR="00F13DD3" w:rsidRPr="00F13DD3">
              <w:rPr>
                <w:i/>
                <w:lang w:val="en-GB"/>
              </w:rPr>
              <w:t>against</w:t>
            </w:r>
            <w:r w:rsidRPr="00F13DD3">
              <w:rPr>
                <w:i/>
                <w:lang w:val="en-GB"/>
              </w:rPr>
              <w:t xml:space="preserve"> discrimination and forms of violence and </w:t>
            </w:r>
            <w:r w:rsidR="00F13DD3" w:rsidRPr="00F13DD3">
              <w:rPr>
                <w:i/>
                <w:lang w:val="en-GB"/>
              </w:rPr>
              <w:t>harassment</w:t>
            </w:r>
          </w:p>
        </w:tc>
      </w:tr>
    </w:tbl>
    <w:p w14:paraId="7A2B6FA1" w14:textId="77777777" w:rsidR="00FD60BB" w:rsidRPr="00F13DD3" w:rsidRDefault="00FD60BB">
      <w:pPr>
        <w:rPr>
          <w:b/>
          <w:sz w:val="20"/>
          <w:szCs w:val="20"/>
          <w:lang w:val="en-GB"/>
        </w:rPr>
      </w:pPr>
    </w:p>
    <w:p w14:paraId="6F666E98" w14:textId="77777777" w:rsidR="00FD60BB" w:rsidRPr="00F13DD3" w:rsidRDefault="009A4F71">
      <w:pPr>
        <w:rPr>
          <w:b/>
          <w:sz w:val="20"/>
          <w:szCs w:val="20"/>
          <w:lang w:val="en-GB"/>
        </w:rPr>
      </w:pPr>
      <w:r w:rsidRPr="00F13DD3">
        <w:rPr>
          <w:b/>
          <w:sz w:val="20"/>
          <w:szCs w:val="20"/>
          <w:lang w:val="en-GB"/>
        </w:rPr>
        <w:t>PART 2. OF SCENARIO</w:t>
      </w:r>
    </w:p>
    <w:tbl>
      <w:tblPr>
        <w:tblStyle w:val="2"/>
        <w:tblW w:w="91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7"/>
        <w:gridCol w:w="7144"/>
      </w:tblGrid>
      <w:tr w:rsidR="00FD60BB" w:rsidRPr="00F13DD3" w14:paraId="1E422D8C" w14:textId="77777777">
        <w:trPr>
          <w:trHeight w:val="915"/>
        </w:trPr>
        <w:tc>
          <w:tcPr>
            <w:tcW w:w="1997" w:type="dxa"/>
            <w:shd w:val="clear" w:color="auto" w:fill="D9D9D9"/>
            <w:vAlign w:val="center"/>
          </w:tcPr>
          <w:p w14:paraId="47ADA7D7" w14:textId="77777777" w:rsidR="00FD60BB" w:rsidRPr="00F13DD3" w:rsidRDefault="009A4F71">
            <w:pPr>
              <w:rPr>
                <w:b/>
                <w:sz w:val="20"/>
                <w:szCs w:val="20"/>
                <w:lang w:val="en-GB"/>
              </w:rPr>
            </w:pPr>
            <w:r w:rsidRPr="00F13DD3">
              <w:rPr>
                <w:b/>
                <w:sz w:val="20"/>
                <w:szCs w:val="20"/>
                <w:lang w:val="en-GB"/>
              </w:rPr>
              <w:t>THE AIM OF THE CLASSES</w:t>
            </w:r>
          </w:p>
        </w:tc>
        <w:tc>
          <w:tcPr>
            <w:tcW w:w="7144" w:type="dxa"/>
            <w:shd w:val="clear" w:color="auto" w:fill="D9D9D9"/>
            <w:vAlign w:val="center"/>
          </w:tcPr>
          <w:p w14:paraId="6C0CCF3A" w14:textId="2E4F83D2" w:rsidR="00FD60BB" w:rsidRPr="00F13DD3" w:rsidRDefault="009A4F71">
            <w:pPr>
              <w:pBdr>
                <w:top w:val="nil"/>
                <w:left w:val="nil"/>
                <w:bottom w:val="nil"/>
                <w:right w:val="nil"/>
                <w:between w:val="nil"/>
              </w:pBdr>
              <w:rPr>
                <w:i/>
                <w:color w:val="000000"/>
                <w:lang w:val="en-GB"/>
              </w:rPr>
            </w:pPr>
            <w:r w:rsidRPr="00F13DD3">
              <w:rPr>
                <w:i/>
                <w:lang w:val="en-GB"/>
              </w:rPr>
              <w:t>The aim of the class is that students get a profound knowledge and understanding of legal obligations existing in Public International</w:t>
            </w:r>
            <w:r w:rsidR="001D448E" w:rsidRPr="00F13DD3">
              <w:rPr>
                <w:i/>
                <w:lang w:val="en-GB"/>
              </w:rPr>
              <w:t xml:space="preserve"> </w:t>
            </w:r>
            <w:r w:rsidRPr="00F13DD3">
              <w:rPr>
                <w:i/>
                <w:lang w:val="en-GB"/>
              </w:rPr>
              <w:t xml:space="preserve">and </w:t>
            </w:r>
            <w:r w:rsidR="001D448E" w:rsidRPr="00F13DD3">
              <w:rPr>
                <w:i/>
                <w:lang w:val="en-GB"/>
              </w:rPr>
              <w:t>n</w:t>
            </w:r>
            <w:r w:rsidRPr="00F13DD3">
              <w:rPr>
                <w:i/>
                <w:lang w:val="en-GB"/>
              </w:rPr>
              <w:t>ational</w:t>
            </w:r>
            <w:r w:rsidR="001D448E" w:rsidRPr="00F13DD3">
              <w:rPr>
                <w:i/>
                <w:lang w:val="en-GB"/>
              </w:rPr>
              <w:t xml:space="preserve"> l</w:t>
            </w:r>
            <w:r w:rsidRPr="00F13DD3">
              <w:rPr>
                <w:i/>
                <w:lang w:val="en-GB"/>
              </w:rPr>
              <w:t xml:space="preserve">aw in the respective State </w:t>
            </w:r>
            <w:r w:rsidR="00090B61" w:rsidRPr="00F13DD3">
              <w:rPr>
                <w:i/>
                <w:lang w:val="en-GB"/>
              </w:rPr>
              <w:t>(States may be selected with regard to participants’ interest</w:t>
            </w:r>
            <w:r w:rsidR="00F13DD3">
              <w:rPr>
                <w:i/>
                <w:lang w:val="en-GB"/>
              </w:rPr>
              <w:t>s</w:t>
            </w:r>
            <w:r w:rsidR="00090B61" w:rsidRPr="00F13DD3">
              <w:rPr>
                <w:i/>
                <w:lang w:val="en-GB"/>
              </w:rPr>
              <w:t xml:space="preserve">) </w:t>
            </w:r>
            <w:r w:rsidRPr="00F13DD3">
              <w:rPr>
                <w:i/>
                <w:lang w:val="en-GB"/>
              </w:rPr>
              <w:t>which govern gender equality in general and in the workplace. A special focus lies on gender equality in academia.</w:t>
            </w:r>
            <w:r w:rsidR="00A23A87" w:rsidRPr="00F13DD3">
              <w:rPr>
                <w:i/>
                <w:lang w:val="en-GB"/>
              </w:rPr>
              <w:t xml:space="preserve"> The lecture also focusses on the intention to eliminate gender violence and sexual harassment. The universal and regional legal obligations are discussed and analysed. </w:t>
            </w:r>
          </w:p>
          <w:p w14:paraId="4D3AE5C4" w14:textId="77777777" w:rsidR="001B4ED0" w:rsidRDefault="001B4ED0">
            <w:pPr>
              <w:pBdr>
                <w:top w:val="nil"/>
                <w:left w:val="nil"/>
                <w:bottom w:val="nil"/>
                <w:right w:val="nil"/>
                <w:between w:val="nil"/>
              </w:pBdr>
              <w:rPr>
                <w:i/>
                <w:color w:val="000000"/>
                <w:lang w:val="en-GB"/>
              </w:rPr>
            </w:pPr>
          </w:p>
          <w:p w14:paraId="39BC3C0E" w14:textId="77777777" w:rsidR="001B4ED0" w:rsidRDefault="001B4ED0">
            <w:pPr>
              <w:pBdr>
                <w:top w:val="nil"/>
                <w:left w:val="nil"/>
                <w:bottom w:val="nil"/>
                <w:right w:val="nil"/>
                <w:between w:val="nil"/>
              </w:pBdr>
              <w:rPr>
                <w:i/>
                <w:color w:val="000000"/>
                <w:lang w:val="en-GB"/>
              </w:rPr>
            </w:pPr>
          </w:p>
          <w:p w14:paraId="4276C208" w14:textId="678D7B33" w:rsidR="00FD60BB" w:rsidRPr="00F13DD3" w:rsidRDefault="009A4F71">
            <w:pPr>
              <w:pBdr>
                <w:top w:val="nil"/>
                <w:left w:val="nil"/>
                <w:bottom w:val="nil"/>
                <w:right w:val="nil"/>
                <w:between w:val="nil"/>
              </w:pBdr>
              <w:rPr>
                <w:i/>
                <w:color w:val="000000"/>
                <w:lang w:val="en-GB"/>
              </w:rPr>
            </w:pPr>
            <w:r w:rsidRPr="00F13DD3">
              <w:rPr>
                <w:i/>
                <w:color w:val="000000"/>
                <w:lang w:val="en-GB"/>
              </w:rPr>
              <w:t>The class intends to analyse all existing legal obligations</w:t>
            </w:r>
            <w:r w:rsidR="00A23A87" w:rsidRPr="00F13DD3">
              <w:rPr>
                <w:i/>
                <w:color w:val="000000"/>
                <w:lang w:val="en-GB"/>
              </w:rPr>
              <w:t xml:space="preserve"> in Public International Law and their</w:t>
            </w:r>
            <w:r w:rsidRPr="00F13DD3">
              <w:rPr>
                <w:i/>
                <w:color w:val="000000"/>
                <w:lang w:val="en-GB"/>
              </w:rPr>
              <w:t xml:space="preserve"> implementation and focuses on options to strengthen gender equality in the workplace and especially in academic scenarios. </w:t>
            </w:r>
          </w:p>
          <w:p w14:paraId="60FE7E5A" w14:textId="77777777" w:rsidR="00FD60BB" w:rsidRPr="00F13DD3" w:rsidRDefault="009A4F71">
            <w:pPr>
              <w:pBdr>
                <w:top w:val="nil"/>
                <w:left w:val="nil"/>
                <w:bottom w:val="nil"/>
                <w:right w:val="nil"/>
                <w:between w:val="nil"/>
              </w:pBdr>
              <w:rPr>
                <w:i/>
                <w:color w:val="000000"/>
                <w:lang w:val="en-GB"/>
              </w:rPr>
            </w:pPr>
            <w:r w:rsidRPr="00F13DD3">
              <w:rPr>
                <w:i/>
                <w:color w:val="000000"/>
                <w:lang w:val="en-GB"/>
              </w:rPr>
              <w:lastRenderedPageBreak/>
              <w:t>A further aim is that students become aware of existing promoti</w:t>
            </w:r>
            <w:r w:rsidRPr="00F13DD3">
              <w:rPr>
                <w:i/>
                <w:lang w:val="en-GB"/>
              </w:rPr>
              <w:t>o</w:t>
            </w:r>
            <w:r w:rsidRPr="00F13DD3">
              <w:rPr>
                <w:i/>
                <w:color w:val="000000"/>
                <w:lang w:val="en-GB"/>
              </w:rPr>
              <w:t xml:space="preserve">nal programmes to </w:t>
            </w:r>
            <w:r w:rsidRPr="00F13DD3">
              <w:rPr>
                <w:i/>
                <w:lang w:val="en-GB"/>
              </w:rPr>
              <w:t>i</w:t>
            </w:r>
            <w:r w:rsidRPr="00F13DD3">
              <w:rPr>
                <w:i/>
                <w:color w:val="000000"/>
                <w:lang w:val="en-GB"/>
              </w:rPr>
              <w:t xml:space="preserve">ncrease the number of female academics in higher positions and to acquire the necessary academic qualifications. </w:t>
            </w:r>
          </w:p>
        </w:tc>
      </w:tr>
      <w:tr w:rsidR="00FD60BB" w:rsidRPr="00F13DD3" w14:paraId="7C07B24E" w14:textId="77777777">
        <w:trPr>
          <w:trHeight w:val="985"/>
        </w:trPr>
        <w:tc>
          <w:tcPr>
            <w:tcW w:w="1997" w:type="dxa"/>
            <w:shd w:val="clear" w:color="auto" w:fill="D9D9D9"/>
            <w:vAlign w:val="center"/>
          </w:tcPr>
          <w:p w14:paraId="6BDA0815" w14:textId="77777777" w:rsidR="00FD60BB" w:rsidRPr="00F13DD3" w:rsidRDefault="009A4F71">
            <w:pPr>
              <w:rPr>
                <w:b/>
                <w:sz w:val="20"/>
                <w:szCs w:val="20"/>
                <w:lang w:val="en-GB"/>
              </w:rPr>
            </w:pPr>
            <w:r w:rsidRPr="00F13DD3">
              <w:rPr>
                <w:b/>
                <w:sz w:val="20"/>
                <w:szCs w:val="20"/>
                <w:lang w:val="en-GB"/>
              </w:rPr>
              <w:lastRenderedPageBreak/>
              <w:t>LEARNING OUTCOMES</w:t>
            </w:r>
          </w:p>
        </w:tc>
        <w:tc>
          <w:tcPr>
            <w:tcW w:w="7144" w:type="dxa"/>
            <w:shd w:val="clear" w:color="auto" w:fill="D9D9D9"/>
            <w:vAlign w:val="center"/>
          </w:tcPr>
          <w:p w14:paraId="351DA440" w14:textId="764AFB17" w:rsidR="001B4ED0" w:rsidRDefault="009A4F71">
            <w:pPr>
              <w:pBdr>
                <w:top w:val="nil"/>
                <w:left w:val="nil"/>
                <w:bottom w:val="nil"/>
                <w:right w:val="nil"/>
                <w:between w:val="nil"/>
              </w:pBdr>
              <w:rPr>
                <w:i/>
                <w:color w:val="000000"/>
                <w:lang w:val="en-GB"/>
              </w:rPr>
            </w:pPr>
            <w:r w:rsidRPr="00F13DD3">
              <w:rPr>
                <w:i/>
                <w:color w:val="000000"/>
                <w:lang w:val="en-GB"/>
              </w:rPr>
              <w:t>At the end students are familiar with the existing legal framework. Students have a profound knowle</w:t>
            </w:r>
            <w:r w:rsidRPr="00F13DD3">
              <w:rPr>
                <w:i/>
                <w:lang w:val="en-GB"/>
              </w:rPr>
              <w:t>dg</w:t>
            </w:r>
            <w:r w:rsidRPr="00F13DD3">
              <w:rPr>
                <w:i/>
                <w:color w:val="000000"/>
                <w:lang w:val="en-GB"/>
              </w:rPr>
              <w:t>e in gender equality law and its application in practice.</w:t>
            </w:r>
          </w:p>
          <w:p w14:paraId="62FC13B2" w14:textId="77777777" w:rsidR="000F0C30" w:rsidRDefault="000F0C30">
            <w:pPr>
              <w:pBdr>
                <w:top w:val="nil"/>
                <w:left w:val="nil"/>
                <w:bottom w:val="nil"/>
                <w:right w:val="nil"/>
                <w:between w:val="nil"/>
              </w:pBdr>
              <w:rPr>
                <w:i/>
                <w:color w:val="000000"/>
                <w:lang w:val="en-GB"/>
              </w:rPr>
            </w:pPr>
          </w:p>
          <w:p w14:paraId="7158F04D" w14:textId="358FA6BB" w:rsidR="00FD60BB" w:rsidRPr="00F13DD3" w:rsidRDefault="009A4F71">
            <w:pPr>
              <w:pBdr>
                <w:top w:val="nil"/>
                <w:left w:val="nil"/>
                <w:bottom w:val="nil"/>
                <w:right w:val="nil"/>
                <w:between w:val="nil"/>
              </w:pBdr>
              <w:rPr>
                <w:highlight w:val="yellow"/>
                <w:lang w:val="en-GB"/>
              </w:rPr>
            </w:pPr>
            <w:r w:rsidRPr="00F13DD3">
              <w:rPr>
                <w:i/>
                <w:color w:val="000000"/>
                <w:lang w:val="en-GB"/>
              </w:rPr>
              <w:t xml:space="preserve">Students are able to give legal advice in gender equality issues. </w:t>
            </w:r>
          </w:p>
        </w:tc>
      </w:tr>
      <w:tr w:rsidR="00FD60BB" w:rsidRPr="00F13DD3" w14:paraId="5D20D4D7" w14:textId="77777777">
        <w:trPr>
          <w:trHeight w:val="700"/>
        </w:trPr>
        <w:tc>
          <w:tcPr>
            <w:tcW w:w="1997" w:type="dxa"/>
            <w:shd w:val="clear" w:color="auto" w:fill="D9D9D9"/>
            <w:vAlign w:val="center"/>
          </w:tcPr>
          <w:p w14:paraId="4E504FBF" w14:textId="77777777" w:rsidR="00FD60BB" w:rsidRPr="00F13DD3" w:rsidRDefault="009A4F71">
            <w:pPr>
              <w:rPr>
                <w:b/>
                <w:sz w:val="20"/>
                <w:szCs w:val="20"/>
                <w:lang w:val="en-GB"/>
              </w:rPr>
            </w:pPr>
            <w:r w:rsidRPr="00F13DD3">
              <w:rPr>
                <w:b/>
                <w:sz w:val="20"/>
                <w:szCs w:val="20"/>
                <w:lang w:val="en-GB"/>
              </w:rPr>
              <w:t xml:space="preserve">SUGGESTED TOOLS </w:t>
            </w:r>
          </w:p>
        </w:tc>
        <w:tc>
          <w:tcPr>
            <w:tcW w:w="7144" w:type="dxa"/>
            <w:vAlign w:val="center"/>
          </w:tcPr>
          <w:p w14:paraId="7A104480" w14:textId="3195570D" w:rsidR="00FD60BB" w:rsidRPr="00F13DD3" w:rsidRDefault="009A4F71">
            <w:pPr>
              <w:rPr>
                <w:i/>
                <w:iCs/>
                <w:lang w:val="en-GB"/>
              </w:rPr>
            </w:pPr>
            <w:r w:rsidRPr="00F13DD3">
              <w:rPr>
                <w:i/>
                <w:iCs/>
                <w:lang w:val="en-GB"/>
              </w:rPr>
              <w:t xml:space="preserve">Students read and analyse legal </w:t>
            </w:r>
            <w:r w:rsidR="00F13DD3" w:rsidRPr="00F13DD3">
              <w:rPr>
                <w:i/>
                <w:iCs/>
                <w:lang w:val="en-GB"/>
              </w:rPr>
              <w:t>texts;</w:t>
            </w:r>
            <w:r w:rsidRPr="00F13DD3">
              <w:rPr>
                <w:i/>
                <w:iCs/>
                <w:lang w:val="en-GB"/>
              </w:rPr>
              <w:t xml:space="preserve"> they study case law and analyse practical application and implementation of laws. Cases are discussed with a focus on jurisprudence on the International and national level. Also, theoretical cases and their solutions are discussed in class.</w:t>
            </w:r>
          </w:p>
        </w:tc>
      </w:tr>
      <w:tr w:rsidR="00FD60BB" w:rsidRPr="00F13DD3" w14:paraId="1DB12763" w14:textId="77777777">
        <w:trPr>
          <w:trHeight w:val="700"/>
        </w:trPr>
        <w:tc>
          <w:tcPr>
            <w:tcW w:w="1997" w:type="dxa"/>
            <w:shd w:val="clear" w:color="auto" w:fill="D9D9D9"/>
            <w:vAlign w:val="center"/>
          </w:tcPr>
          <w:p w14:paraId="4F921D23" w14:textId="77777777" w:rsidR="00FD60BB" w:rsidRPr="00F13DD3" w:rsidRDefault="009A4F71">
            <w:pPr>
              <w:rPr>
                <w:b/>
                <w:sz w:val="20"/>
                <w:szCs w:val="20"/>
                <w:lang w:val="en-GB"/>
              </w:rPr>
            </w:pPr>
            <w:r w:rsidRPr="00F13DD3">
              <w:rPr>
                <w:b/>
                <w:sz w:val="20"/>
                <w:szCs w:val="20"/>
                <w:lang w:val="en-GB"/>
              </w:rPr>
              <w:t>TIPS / METHODOLOGICAL REMARKS</w:t>
            </w:r>
          </w:p>
        </w:tc>
        <w:tc>
          <w:tcPr>
            <w:tcW w:w="7144" w:type="dxa"/>
            <w:vAlign w:val="center"/>
          </w:tcPr>
          <w:p w14:paraId="3374AA2C" w14:textId="77777777" w:rsidR="00FD60BB" w:rsidRPr="00F13DD3" w:rsidRDefault="009A4F71">
            <w:pPr>
              <w:rPr>
                <w:i/>
                <w:iCs/>
                <w:lang w:val="en-GB"/>
              </w:rPr>
            </w:pPr>
            <w:r w:rsidRPr="00F13DD3">
              <w:rPr>
                <w:i/>
                <w:iCs/>
                <w:lang w:val="en-GB"/>
              </w:rPr>
              <w:t>Analysis of legal obligations, practical implementation, remedies, soft law instruments</w:t>
            </w:r>
          </w:p>
        </w:tc>
      </w:tr>
      <w:tr w:rsidR="00FD60BB" w:rsidRPr="00F13DD3" w14:paraId="528D1510" w14:textId="77777777">
        <w:trPr>
          <w:trHeight w:val="700"/>
        </w:trPr>
        <w:tc>
          <w:tcPr>
            <w:tcW w:w="1997" w:type="dxa"/>
            <w:shd w:val="clear" w:color="auto" w:fill="D9D9D9"/>
            <w:vAlign w:val="center"/>
          </w:tcPr>
          <w:p w14:paraId="3040CCCB" w14:textId="77777777" w:rsidR="00FD60BB" w:rsidRPr="00F13DD3" w:rsidRDefault="009A4F71">
            <w:pPr>
              <w:rPr>
                <w:b/>
                <w:sz w:val="20"/>
                <w:szCs w:val="20"/>
                <w:lang w:val="en-GB"/>
              </w:rPr>
            </w:pPr>
            <w:r w:rsidRPr="00F13DD3">
              <w:rPr>
                <w:b/>
                <w:sz w:val="20"/>
                <w:szCs w:val="20"/>
                <w:lang w:val="en-GB"/>
              </w:rPr>
              <w:t>RISKS</w:t>
            </w:r>
          </w:p>
        </w:tc>
        <w:tc>
          <w:tcPr>
            <w:tcW w:w="7144" w:type="dxa"/>
            <w:vAlign w:val="center"/>
          </w:tcPr>
          <w:p w14:paraId="40FD5AB1" w14:textId="77777777" w:rsidR="00FD60BB" w:rsidRPr="00F13DD3" w:rsidRDefault="009A4F71">
            <w:pPr>
              <w:rPr>
                <w:i/>
                <w:iCs/>
                <w:lang w:val="en-GB"/>
              </w:rPr>
            </w:pPr>
            <w:r w:rsidRPr="00F13DD3">
              <w:rPr>
                <w:i/>
                <w:iCs/>
                <w:lang w:val="en-GB"/>
              </w:rPr>
              <w:t>No risks</w:t>
            </w:r>
          </w:p>
        </w:tc>
      </w:tr>
    </w:tbl>
    <w:p w14:paraId="096DDBB6" w14:textId="77777777" w:rsidR="00FD60BB" w:rsidRPr="00F13DD3" w:rsidRDefault="00FD60BB">
      <w:pPr>
        <w:rPr>
          <w:lang w:val="en-GB"/>
        </w:rPr>
      </w:pPr>
    </w:p>
    <w:p w14:paraId="569280E0" w14:textId="77777777" w:rsidR="00FD60BB" w:rsidRPr="00F13DD3" w:rsidRDefault="009A4F71">
      <w:pPr>
        <w:rPr>
          <w:b/>
          <w:sz w:val="20"/>
          <w:szCs w:val="20"/>
          <w:lang w:val="en-GB"/>
        </w:rPr>
      </w:pPr>
      <w:r w:rsidRPr="00F13DD3">
        <w:rPr>
          <w:b/>
          <w:sz w:val="20"/>
          <w:szCs w:val="20"/>
          <w:lang w:val="en-GB"/>
        </w:rPr>
        <w:t>PART 3. OF SCENARIO</w:t>
      </w:r>
    </w:p>
    <w:tbl>
      <w:tblPr>
        <w:tblStyle w:val="1"/>
        <w:tblW w:w="91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3"/>
        <w:gridCol w:w="1969"/>
        <w:gridCol w:w="5319"/>
      </w:tblGrid>
      <w:tr w:rsidR="00FD60BB" w:rsidRPr="00F13DD3" w14:paraId="635461AF" w14:textId="77777777">
        <w:trPr>
          <w:trHeight w:val="700"/>
        </w:trPr>
        <w:tc>
          <w:tcPr>
            <w:tcW w:w="1853" w:type="dxa"/>
            <w:shd w:val="clear" w:color="auto" w:fill="D9D9D9"/>
            <w:vAlign w:val="center"/>
          </w:tcPr>
          <w:p w14:paraId="4D66EE36" w14:textId="77777777" w:rsidR="00FD60BB" w:rsidRPr="00F13DD3" w:rsidRDefault="009A4F71">
            <w:pPr>
              <w:rPr>
                <w:b/>
                <w:sz w:val="20"/>
                <w:szCs w:val="20"/>
                <w:lang w:val="en-GB"/>
              </w:rPr>
            </w:pPr>
            <w:r w:rsidRPr="00F13DD3">
              <w:rPr>
                <w:b/>
                <w:sz w:val="20"/>
                <w:szCs w:val="20"/>
                <w:lang w:val="en-GB"/>
              </w:rPr>
              <w:t>LEARNING CONTENT - CHARACTERISTICS</w:t>
            </w:r>
          </w:p>
        </w:tc>
        <w:tc>
          <w:tcPr>
            <w:tcW w:w="7288" w:type="dxa"/>
            <w:gridSpan w:val="2"/>
            <w:vAlign w:val="center"/>
          </w:tcPr>
          <w:p w14:paraId="00CD697C" w14:textId="1CFC7CB7" w:rsidR="00FD60BB" w:rsidRPr="00F13DD3" w:rsidRDefault="00A23A87" w:rsidP="00A23A87">
            <w:pPr>
              <w:pBdr>
                <w:top w:val="nil"/>
                <w:left w:val="nil"/>
                <w:bottom w:val="nil"/>
                <w:right w:val="nil"/>
                <w:between w:val="nil"/>
              </w:pBdr>
              <w:rPr>
                <w:i/>
                <w:iCs/>
                <w:color w:val="000000"/>
                <w:lang w:val="en-GB"/>
              </w:rPr>
            </w:pPr>
            <w:r w:rsidRPr="00F13DD3">
              <w:rPr>
                <w:i/>
                <w:iCs/>
                <w:color w:val="000000"/>
                <w:lang w:val="en-GB"/>
              </w:rPr>
              <w:t>The learning content comprises slides with an introduction into the legal obligations and their content relating to gender equality and violence against women, prevention of violence, remedies and reparations. Legal texts, abstracts from cases and materials as an additional reader complement the teaching materials.</w:t>
            </w:r>
            <w:r w:rsidR="001B4ED0">
              <w:rPr>
                <w:i/>
                <w:iCs/>
                <w:color w:val="000000"/>
                <w:lang w:val="en-GB"/>
              </w:rPr>
              <w:t xml:space="preserve"> A video about UN activities to protect women might be used.</w:t>
            </w:r>
          </w:p>
        </w:tc>
      </w:tr>
      <w:tr w:rsidR="00FD60BB" w:rsidRPr="00F13DD3" w14:paraId="42745B65" w14:textId="77777777">
        <w:trPr>
          <w:trHeight w:val="700"/>
        </w:trPr>
        <w:tc>
          <w:tcPr>
            <w:tcW w:w="1853" w:type="dxa"/>
            <w:shd w:val="clear" w:color="auto" w:fill="D9D9D9"/>
            <w:vAlign w:val="center"/>
          </w:tcPr>
          <w:p w14:paraId="373453C9" w14:textId="77777777" w:rsidR="00FD60BB" w:rsidRPr="00F13DD3" w:rsidRDefault="009A4F71">
            <w:pPr>
              <w:rPr>
                <w:b/>
                <w:sz w:val="20"/>
                <w:szCs w:val="20"/>
                <w:lang w:val="en-GB"/>
              </w:rPr>
            </w:pPr>
            <w:r w:rsidRPr="00F13DD3">
              <w:rPr>
                <w:b/>
                <w:sz w:val="20"/>
                <w:szCs w:val="20"/>
                <w:lang w:val="en-GB"/>
              </w:rPr>
              <w:t>BASICTERMS</w:t>
            </w:r>
          </w:p>
        </w:tc>
        <w:tc>
          <w:tcPr>
            <w:tcW w:w="7288" w:type="dxa"/>
            <w:gridSpan w:val="2"/>
            <w:vAlign w:val="center"/>
          </w:tcPr>
          <w:p w14:paraId="6D7F29D2" w14:textId="7E997B08" w:rsidR="00FD60BB" w:rsidRPr="003130B7" w:rsidRDefault="001B4ED0">
            <w:pPr>
              <w:rPr>
                <w:i/>
                <w:iCs/>
                <w:lang w:val="en-GB"/>
              </w:rPr>
            </w:pPr>
            <w:r w:rsidRPr="003130B7">
              <w:rPr>
                <w:i/>
                <w:iCs/>
                <w:lang w:val="en-GB"/>
              </w:rPr>
              <w:t>Gender equality, non</w:t>
            </w:r>
            <w:r w:rsidR="000F0C30">
              <w:rPr>
                <w:i/>
                <w:iCs/>
                <w:lang w:val="en-GB"/>
              </w:rPr>
              <w:t>-</w:t>
            </w:r>
            <w:r w:rsidRPr="003130B7">
              <w:rPr>
                <w:i/>
                <w:iCs/>
                <w:lang w:val="en-GB"/>
              </w:rPr>
              <w:t xml:space="preserve">discrimination, human rights provisions to protect women </w:t>
            </w:r>
          </w:p>
        </w:tc>
      </w:tr>
      <w:tr w:rsidR="00FD60BB" w:rsidRPr="00F13DD3" w14:paraId="01BDC823" w14:textId="77777777">
        <w:trPr>
          <w:trHeight w:val="171"/>
        </w:trPr>
        <w:tc>
          <w:tcPr>
            <w:tcW w:w="1853" w:type="dxa"/>
            <w:vMerge w:val="restart"/>
            <w:shd w:val="clear" w:color="auto" w:fill="D9D9D9"/>
            <w:vAlign w:val="center"/>
          </w:tcPr>
          <w:p w14:paraId="04E30025" w14:textId="77777777" w:rsidR="00FD60BB" w:rsidRPr="00F13DD3" w:rsidRDefault="009A4F71">
            <w:pPr>
              <w:rPr>
                <w:b/>
                <w:lang w:val="en-GB"/>
              </w:rPr>
            </w:pPr>
            <w:r w:rsidRPr="00F13DD3">
              <w:rPr>
                <w:b/>
                <w:lang w:val="en-GB"/>
              </w:rPr>
              <w:t>COURSE OF THE CLASS</w:t>
            </w:r>
          </w:p>
          <w:p w14:paraId="138945BD" w14:textId="77777777" w:rsidR="00FD60BB" w:rsidRPr="00F13DD3" w:rsidRDefault="00FD60BB">
            <w:pPr>
              <w:rPr>
                <w:b/>
                <w:lang w:val="en-GB"/>
              </w:rPr>
            </w:pPr>
          </w:p>
        </w:tc>
        <w:tc>
          <w:tcPr>
            <w:tcW w:w="1969" w:type="dxa"/>
            <w:shd w:val="clear" w:color="auto" w:fill="D9D9D9"/>
            <w:vAlign w:val="center"/>
          </w:tcPr>
          <w:p w14:paraId="14452347" w14:textId="77777777" w:rsidR="00FD60BB" w:rsidRPr="00F13DD3" w:rsidRDefault="00FD60BB">
            <w:pPr>
              <w:rPr>
                <w:b/>
                <w:sz w:val="20"/>
                <w:szCs w:val="20"/>
                <w:lang w:val="en-GB"/>
              </w:rPr>
            </w:pPr>
          </w:p>
          <w:p w14:paraId="3B671670" w14:textId="77777777" w:rsidR="00FD60BB" w:rsidRPr="00F13DD3" w:rsidRDefault="009A4F71">
            <w:pPr>
              <w:rPr>
                <w:b/>
                <w:sz w:val="20"/>
                <w:szCs w:val="20"/>
                <w:lang w:val="en-GB"/>
              </w:rPr>
            </w:pPr>
            <w:r w:rsidRPr="00F13DD3">
              <w:rPr>
                <w:b/>
                <w:sz w:val="20"/>
                <w:szCs w:val="20"/>
                <w:lang w:val="en-GB"/>
              </w:rPr>
              <w:t>STEP 1</w:t>
            </w:r>
          </w:p>
        </w:tc>
        <w:tc>
          <w:tcPr>
            <w:tcW w:w="5319" w:type="dxa"/>
            <w:vAlign w:val="center"/>
          </w:tcPr>
          <w:p w14:paraId="7EF4D57F" w14:textId="77777777" w:rsidR="00FD60BB" w:rsidRDefault="009A4F71">
            <w:pPr>
              <w:rPr>
                <w:i/>
                <w:iCs/>
                <w:lang w:val="en-GB"/>
              </w:rPr>
            </w:pPr>
            <w:r w:rsidRPr="00F13DD3">
              <w:rPr>
                <w:i/>
                <w:iCs/>
                <w:lang w:val="en-GB"/>
              </w:rPr>
              <w:t>Elaborating legal obligations, raising awareness and knowledge, interpreting legal texts</w:t>
            </w:r>
          </w:p>
          <w:p w14:paraId="7CD490A3" w14:textId="7DB40A1C" w:rsidR="001B4ED0" w:rsidRPr="00F13DD3" w:rsidRDefault="001B4ED0">
            <w:pPr>
              <w:rPr>
                <w:i/>
                <w:iCs/>
                <w:lang w:val="en-GB"/>
              </w:rPr>
            </w:pPr>
          </w:p>
        </w:tc>
      </w:tr>
      <w:tr w:rsidR="00FD60BB" w:rsidRPr="00F13DD3" w14:paraId="77AAEFED" w14:textId="77777777">
        <w:trPr>
          <w:trHeight w:val="171"/>
        </w:trPr>
        <w:tc>
          <w:tcPr>
            <w:tcW w:w="1853" w:type="dxa"/>
            <w:vMerge/>
            <w:shd w:val="clear" w:color="auto" w:fill="D9D9D9"/>
            <w:vAlign w:val="center"/>
          </w:tcPr>
          <w:p w14:paraId="68B39132" w14:textId="77777777" w:rsidR="00FD60BB" w:rsidRPr="00F13DD3" w:rsidRDefault="00FD60BB">
            <w:pPr>
              <w:widowControl w:val="0"/>
              <w:pBdr>
                <w:top w:val="nil"/>
                <w:left w:val="nil"/>
                <w:bottom w:val="nil"/>
                <w:right w:val="nil"/>
                <w:between w:val="nil"/>
              </w:pBdr>
              <w:spacing w:line="276" w:lineRule="auto"/>
              <w:rPr>
                <w:lang w:val="en-GB"/>
              </w:rPr>
            </w:pPr>
          </w:p>
        </w:tc>
        <w:tc>
          <w:tcPr>
            <w:tcW w:w="1969" w:type="dxa"/>
            <w:shd w:val="clear" w:color="auto" w:fill="D9D9D9"/>
            <w:vAlign w:val="center"/>
          </w:tcPr>
          <w:p w14:paraId="4BD62AFE" w14:textId="77777777" w:rsidR="00FD60BB" w:rsidRPr="00F13DD3" w:rsidRDefault="009A4F71">
            <w:pPr>
              <w:rPr>
                <w:b/>
                <w:sz w:val="20"/>
                <w:szCs w:val="20"/>
                <w:lang w:val="en-GB"/>
              </w:rPr>
            </w:pPr>
            <w:r w:rsidRPr="00F13DD3">
              <w:rPr>
                <w:b/>
                <w:sz w:val="20"/>
                <w:szCs w:val="20"/>
                <w:lang w:val="en-GB"/>
              </w:rPr>
              <w:t>STEP 2</w:t>
            </w:r>
          </w:p>
        </w:tc>
        <w:tc>
          <w:tcPr>
            <w:tcW w:w="5319" w:type="dxa"/>
            <w:vAlign w:val="center"/>
          </w:tcPr>
          <w:p w14:paraId="0EA0206E" w14:textId="77777777" w:rsidR="001B4ED0" w:rsidRDefault="001B4ED0">
            <w:pPr>
              <w:pBdr>
                <w:top w:val="nil"/>
                <w:left w:val="nil"/>
                <w:bottom w:val="nil"/>
                <w:right w:val="nil"/>
                <w:between w:val="nil"/>
              </w:pBdr>
              <w:rPr>
                <w:i/>
                <w:iCs/>
                <w:color w:val="000000"/>
                <w:lang w:val="en-GB"/>
              </w:rPr>
            </w:pPr>
          </w:p>
          <w:p w14:paraId="723C3E78" w14:textId="11AF56C3" w:rsidR="00FD60BB" w:rsidRPr="00F13DD3" w:rsidRDefault="009A4F71">
            <w:pPr>
              <w:pBdr>
                <w:top w:val="nil"/>
                <w:left w:val="nil"/>
                <w:bottom w:val="nil"/>
                <w:right w:val="nil"/>
                <w:between w:val="nil"/>
              </w:pBdr>
              <w:rPr>
                <w:i/>
                <w:iCs/>
                <w:color w:val="000000"/>
                <w:lang w:val="en-GB"/>
              </w:rPr>
            </w:pPr>
            <w:r w:rsidRPr="00F13DD3">
              <w:rPr>
                <w:i/>
                <w:iCs/>
                <w:color w:val="000000"/>
                <w:lang w:val="en-GB"/>
              </w:rPr>
              <w:t xml:space="preserve">Doing case studies, elaborating a profound picture about gender equality </w:t>
            </w:r>
            <w:r w:rsidR="00747ED5" w:rsidRPr="00F13DD3">
              <w:rPr>
                <w:i/>
                <w:iCs/>
                <w:color w:val="000000"/>
                <w:lang w:val="en-GB"/>
              </w:rPr>
              <w:t xml:space="preserve">on the level of </w:t>
            </w:r>
            <w:r w:rsidR="00F13DD3" w:rsidRPr="00F13DD3">
              <w:rPr>
                <w:i/>
                <w:iCs/>
                <w:color w:val="000000"/>
                <w:lang w:val="en-GB"/>
              </w:rPr>
              <w:t>Public</w:t>
            </w:r>
            <w:r w:rsidR="00747ED5" w:rsidRPr="00F13DD3">
              <w:rPr>
                <w:i/>
                <w:iCs/>
                <w:color w:val="000000"/>
                <w:lang w:val="en-GB"/>
              </w:rPr>
              <w:t xml:space="preserve"> International Law</w:t>
            </w:r>
            <w:r w:rsidR="00090B61" w:rsidRPr="00F13DD3">
              <w:rPr>
                <w:i/>
                <w:iCs/>
                <w:color w:val="000000"/>
                <w:lang w:val="en-GB"/>
              </w:rPr>
              <w:t xml:space="preserve"> </w:t>
            </w:r>
            <w:r w:rsidR="00747ED5" w:rsidRPr="00F13DD3">
              <w:rPr>
                <w:i/>
                <w:iCs/>
                <w:color w:val="000000"/>
                <w:lang w:val="en-GB"/>
              </w:rPr>
              <w:t xml:space="preserve">and the law </w:t>
            </w:r>
            <w:r w:rsidRPr="00F13DD3">
              <w:rPr>
                <w:i/>
                <w:iCs/>
                <w:color w:val="000000"/>
                <w:lang w:val="en-GB"/>
              </w:rPr>
              <w:t>in the respective State</w:t>
            </w:r>
          </w:p>
          <w:p w14:paraId="0C356687" w14:textId="77777777" w:rsidR="00FD60BB" w:rsidRPr="00F13DD3" w:rsidRDefault="00FD60BB">
            <w:pPr>
              <w:pBdr>
                <w:top w:val="nil"/>
                <w:left w:val="nil"/>
                <w:bottom w:val="nil"/>
                <w:right w:val="nil"/>
                <w:between w:val="nil"/>
              </w:pBdr>
              <w:ind w:left="720"/>
              <w:rPr>
                <w:i/>
                <w:iCs/>
                <w:color w:val="000000"/>
                <w:lang w:val="en-GB"/>
              </w:rPr>
            </w:pPr>
          </w:p>
        </w:tc>
      </w:tr>
      <w:tr w:rsidR="00FD60BB" w:rsidRPr="00F13DD3" w14:paraId="11428A4D" w14:textId="77777777">
        <w:trPr>
          <w:trHeight w:val="732"/>
        </w:trPr>
        <w:tc>
          <w:tcPr>
            <w:tcW w:w="1853" w:type="dxa"/>
            <w:vMerge/>
            <w:shd w:val="clear" w:color="auto" w:fill="D9D9D9"/>
            <w:vAlign w:val="center"/>
          </w:tcPr>
          <w:p w14:paraId="73C361B6" w14:textId="77777777" w:rsidR="00FD60BB" w:rsidRPr="00F13DD3" w:rsidRDefault="00FD60BB">
            <w:pPr>
              <w:widowControl w:val="0"/>
              <w:pBdr>
                <w:top w:val="nil"/>
                <w:left w:val="nil"/>
                <w:bottom w:val="nil"/>
                <w:right w:val="nil"/>
                <w:between w:val="nil"/>
              </w:pBdr>
              <w:spacing w:line="276" w:lineRule="auto"/>
              <w:rPr>
                <w:color w:val="000000"/>
                <w:lang w:val="en-GB"/>
              </w:rPr>
            </w:pPr>
          </w:p>
        </w:tc>
        <w:tc>
          <w:tcPr>
            <w:tcW w:w="1969" w:type="dxa"/>
            <w:shd w:val="clear" w:color="auto" w:fill="D9D9D9"/>
            <w:vAlign w:val="center"/>
          </w:tcPr>
          <w:p w14:paraId="298884D2" w14:textId="77777777" w:rsidR="00FD60BB" w:rsidRPr="00F13DD3" w:rsidRDefault="009A4F71">
            <w:pPr>
              <w:rPr>
                <w:b/>
                <w:lang w:val="en-GB"/>
              </w:rPr>
            </w:pPr>
            <w:r w:rsidRPr="00F13DD3">
              <w:rPr>
                <w:b/>
                <w:lang w:val="en-GB"/>
              </w:rPr>
              <w:t>STEP 3</w:t>
            </w:r>
          </w:p>
        </w:tc>
        <w:tc>
          <w:tcPr>
            <w:tcW w:w="5319" w:type="dxa"/>
            <w:vAlign w:val="center"/>
          </w:tcPr>
          <w:p w14:paraId="2790B189" w14:textId="446C43AD" w:rsidR="00747ED5" w:rsidRPr="00F13DD3" w:rsidRDefault="009A4F71">
            <w:pPr>
              <w:rPr>
                <w:i/>
                <w:iCs/>
                <w:lang w:val="en-GB"/>
              </w:rPr>
            </w:pPr>
            <w:r w:rsidRPr="00F13DD3">
              <w:rPr>
                <w:i/>
                <w:iCs/>
                <w:lang w:val="en-GB"/>
              </w:rPr>
              <w:t>Elaborating ways how to increase gender equality</w:t>
            </w:r>
            <w:r w:rsidR="00747ED5" w:rsidRPr="00F13DD3">
              <w:rPr>
                <w:i/>
                <w:iCs/>
                <w:lang w:val="en-GB"/>
              </w:rPr>
              <w:t>, assessing the possibilities to prevent violence</w:t>
            </w:r>
            <w:r w:rsidR="000F0C30">
              <w:rPr>
                <w:i/>
                <w:iCs/>
                <w:lang w:val="en-GB"/>
              </w:rPr>
              <w:t xml:space="preserve"> and </w:t>
            </w:r>
            <w:r w:rsidR="00747ED5" w:rsidRPr="00F13DD3">
              <w:rPr>
                <w:i/>
                <w:iCs/>
                <w:lang w:val="en-GB"/>
              </w:rPr>
              <w:t>to protect victims and to punish</w:t>
            </w:r>
            <w:r w:rsidR="001B4ED0">
              <w:rPr>
                <w:i/>
                <w:iCs/>
                <w:lang w:val="en-GB"/>
              </w:rPr>
              <w:t xml:space="preserve"> </w:t>
            </w:r>
            <w:r w:rsidR="00F13DD3" w:rsidRPr="00F13DD3">
              <w:rPr>
                <w:i/>
                <w:iCs/>
                <w:lang w:val="en-GB"/>
              </w:rPr>
              <w:t>perpetrators</w:t>
            </w:r>
          </w:p>
          <w:p w14:paraId="58A1B962" w14:textId="77777777" w:rsidR="000F0C30" w:rsidRDefault="000F0C30">
            <w:pPr>
              <w:rPr>
                <w:i/>
                <w:iCs/>
                <w:lang w:val="en-GB"/>
              </w:rPr>
            </w:pPr>
          </w:p>
          <w:p w14:paraId="755C2FF2" w14:textId="7B8C839B" w:rsidR="00FD60BB" w:rsidRPr="00F13DD3" w:rsidRDefault="009A4F71">
            <w:pPr>
              <w:rPr>
                <w:i/>
                <w:iCs/>
                <w:lang w:val="en-GB"/>
              </w:rPr>
            </w:pPr>
            <w:r w:rsidRPr="00F13DD3">
              <w:rPr>
                <w:i/>
                <w:iCs/>
                <w:lang w:val="en-GB"/>
              </w:rPr>
              <w:t>Assessment of promotional programmes, work-life balance and gender equality, unequal workload of female academics</w:t>
            </w:r>
          </w:p>
          <w:p w14:paraId="0FBE72CF" w14:textId="77777777" w:rsidR="000F0C30" w:rsidRDefault="000F0C30">
            <w:pPr>
              <w:rPr>
                <w:i/>
                <w:iCs/>
                <w:lang w:val="en-GB"/>
              </w:rPr>
            </w:pPr>
          </w:p>
          <w:p w14:paraId="6CA857F0" w14:textId="4F51C9FB" w:rsidR="00FD60BB" w:rsidRPr="00F13DD3" w:rsidRDefault="009A4F71">
            <w:pPr>
              <w:rPr>
                <w:lang w:val="en-GB"/>
              </w:rPr>
            </w:pPr>
            <w:r w:rsidRPr="00F13DD3">
              <w:rPr>
                <w:i/>
                <w:iCs/>
                <w:lang w:val="en-GB"/>
              </w:rPr>
              <w:t>Using the Handbook created by the GEPARD project to increase gender equality in practice</w:t>
            </w:r>
          </w:p>
        </w:tc>
      </w:tr>
    </w:tbl>
    <w:p w14:paraId="40C0660B" w14:textId="77777777" w:rsidR="00FD60BB" w:rsidRPr="00F13DD3" w:rsidRDefault="009A4F71">
      <w:pPr>
        <w:rPr>
          <w:lang w:val="en-GB"/>
        </w:rPr>
      </w:pPr>
      <w:r w:rsidRPr="00F13DD3">
        <w:rPr>
          <w:lang w:val="en-GB"/>
        </w:rPr>
        <w:t xml:space="preserve"> </w:t>
      </w:r>
    </w:p>
    <w:p w14:paraId="30178512" w14:textId="77777777" w:rsidR="00FD60BB" w:rsidRPr="00F13DD3" w:rsidRDefault="009A4F71">
      <w:pPr>
        <w:rPr>
          <w:b/>
          <w:lang w:val="en-GB"/>
        </w:rPr>
      </w:pPr>
      <w:r w:rsidRPr="00F13DD3">
        <w:rPr>
          <w:b/>
          <w:lang w:val="en-GB"/>
        </w:rPr>
        <w:lastRenderedPageBreak/>
        <w:t>PART 4. OF SCENARIO: ADDITIONAL MATERIALS (WORKSHEET, CARDS, PICTURES, RECORDINGS</w:t>
      </w:r>
    </w:p>
    <w:p w14:paraId="1C484E13" w14:textId="77777777" w:rsidR="000F0C30" w:rsidRPr="00F13DD3" w:rsidRDefault="000F0C30" w:rsidP="000F0C30">
      <w:pPr>
        <w:rPr>
          <w:b/>
          <w:lang w:val="en-GB"/>
        </w:rPr>
      </w:pPr>
      <w:r w:rsidRPr="00F13DD3">
        <w:rPr>
          <w:b/>
          <w:lang w:val="en-GB"/>
        </w:rPr>
        <w:t>PART 4. OF SCENARIO: ADDITIONAL MATERIALS (WORKSHEET, CARDS, PICTURES, RECORDINGS</w:t>
      </w:r>
    </w:p>
    <w:p w14:paraId="1CE7E634" w14:textId="77777777" w:rsidR="000F0C30" w:rsidRPr="00F13DD3" w:rsidRDefault="000F0C30" w:rsidP="000F0C30">
      <w:pPr>
        <w:rPr>
          <w:b/>
          <w:lang w:val="en-GB"/>
        </w:rPr>
      </w:pPr>
      <w:proofErr w:type="spellStart"/>
      <w:r>
        <w:rPr>
          <w:b/>
          <w:lang w:val="en-GB"/>
        </w:rPr>
        <w:t>Folien</w:t>
      </w:r>
      <w:proofErr w:type="spellEnd"/>
      <w:r>
        <w:rPr>
          <w:b/>
          <w:lang w:val="en-GB"/>
        </w:rPr>
        <w:t xml:space="preserve"> </w:t>
      </w:r>
      <w:r w:rsidRPr="00F13DD3">
        <w:rPr>
          <w:b/>
          <w:lang w:val="en-GB"/>
        </w:rPr>
        <w:t xml:space="preserve">Gender Equality in International Law </w:t>
      </w:r>
    </w:p>
    <w:p w14:paraId="07770E51" w14:textId="77777777" w:rsidR="000F0C30" w:rsidRPr="003B0FE1" w:rsidRDefault="000F0C30" w:rsidP="000F0C30">
      <w:pPr>
        <w:rPr>
          <w:b/>
          <w:lang w:val="de-AT"/>
        </w:rPr>
      </w:pPr>
      <w:r w:rsidRPr="003B0FE1">
        <w:rPr>
          <w:b/>
          <w:lang w:val="de-AT"/>
        </w:rPr>
        <w:t>Texts of legal sources and extracts from case law: Für d</w:t>
      </w:r>
      <w:r>
        <w:rPr>
          <w:b/>
          <w:lang w:val="de-AT"/>
        </w:rPr>
        <w:t xml:space="preserve">en </w:t>
      </w:r>
      <w:r w:rsidRPr="003B0FE1">
        <w:rPr>
          <w:b/>
          <w:lang w:val="de-AT"/>
        </w:rPr>
        <w:t>deutschsprachigen Unterricht w</w:t>
      </w:r>
      <w:r>
        <w:rPr>
          <w:b/>
          <w:lang w:val="de-AT"/>
        </w:rPr>
        <w:t>e</w:t>
      </w:r>
      <w:r w:rsidRPr="003B0FE1">
        <w:rPr>
          <w:b/>
          <w:lang w:val="de-AT"/>
        </w:rPr>
        <w:t>rden teilweise deutsch</w:t>
      </w:r>
      <w:r>
        <w:rPr>
          <w:b/>
          <w:lang w:val="de-AT"/>
        </w:rPr>
        <w:t>e Texte verwendet.</w:t>
      </w:r>
    </w:p>
    <w:p w14:paraId="7D6D0074" w14:textId="77777777" w:rsidR="000F0C30" w:rsidRPr="00F13DD3" w:rsidRDefault="000F0C30" w:rsidP="000F0C30">
      <w:pPr>
        <w:rPr>
          <w:lang w:val="en-GB"/>
        </w:rPr>
      </w:pPr>
      <w:r w:rsidRPr="00F13DD3">
        <w:rPr>
          <w:b/>
          <w:lang w:val="en-GB"/>
        </w:rPr>
        <w:t xml:space="preserve">Legal sources: </w:t>
      </w:r>
      <w:hyperlink r:id="rId7" w:history="1">
        <w:r w:rsidRPr="00F13DD3">
          <w:rPr>
            <w:rStyle w:val="Hyperlink"/>
            <w:lang w:val="en-GB"/>
          </w:rPr>
          <w:t>Ending violence against women: Global norms and standards | What we do | UN Women – Headquarters</w:t>
        </w:r>
      </w:hyperlink>
    </w:p>
    <w:p w14:paraId="59B769D6" w14:textId="77777777" w:rsidR="000F0C30" w:rsidRDefault="000F0C30" w:rsidP="000F0C30">
      <w:pPr>
        <w:jc w:val="both"/>
        <w:rPr>
          <w:b/>
          <w:lang w:val="en-GB"/>
        </w:rPr>
      </w:pPr>
      <w:r w:rsidRPr="00F13DD3">
        <w:rPr>
          <w:b/>
          <w:bCs/>
          <w:lang w:val="en-GB"/>
        </w:rPr>
        <w:t>UN activities:</w:t>
      </w:r>
      <w:r w:rsidRPr="00F13DD3">
        <w:rPr>
          <w:lang w:val="en-GB"/>
        </w:rPr>
        <w:t xml:space="preserve"> </w:t>
      </w:r>
      <w:hyperlink r:id="rId8" w:history="1">
        <w:r w:rsidRPr="00F13DD3">
          <w:rPr>
            <w:rStyle w:val="Hyperlink"/>
            <w:lang w:val="en-GB"/>
          </w:rPr>
          <w:t>Gender Equality | United Nations</w:t>
        </w:r>
      </w:hyperlink>
      <w:r w:rsidRPr="00F13DD3">
        <w:rPr>
          <w:b/>
          <w:lang w:val="en-GB"/>
        </w:rPr>
        <w:t xml:space="preserve"> </w:t>
      </w:r>
    </w:p>
    <w:p w14:paraId="6C640EC8" w14:textId="77777777" w:rsidR="000F0C30" w:rsidRPr="00F13DD3" w:rsidRDefault="000F0C30" w:rsidP="000F0C30">
      <w:pPr>
        <w:jc w:val="both"/>
        <w:rPr>
          <w:b/>
          <w:lang w:val="en-GB"/>
        </w:rPr>
      </w:pPr>
      <w:r w:rsidRPr="00F13DD3">
        <w:rPr>
          <w:b/>
          <w:lang w:val="en-GB"/>
        </w:rPr>
        <w:t xml:space="preserve">Video about CEDAW, focussing on the definition of discrimination </w:t>
      </w:r>
      <w:hyperlink r:id="rId9" w:history="1">
        <w:r w:rsidRPr="00F13DD3">
          <w:rPr>
            <w:rStyle w:val="Hyperlink"/>
            <w:lang w:val="en-GB"/>
          </w:rPr>
          <w:t>2 5 Lecture 5 Introduction to CEDAW 9 00 (youtube.com)</w:t>
        </w:r>
      </w:hyperlink>
    </w:p>
    <w:p w14:paraId="5597F8E7" w14:textId="77777777" w:rsidR="000F0C30" w:rsidRPr="00F13DD3" w:rsidRDefault="000F0C30" w:rsidP="000F0C30">
      <w:pPr>
        <w:jc w:val="both"/>
        <w:rPr>
          <w:b/>
          <w:lang w:val="en-GB"/>
        </w:rPr>
      </w:pPr>
    </w:p>
    <w:p w14:paraId="4234A5A3" w14:textId="77777777" w:rsidR="000F0C30" w:rsidRDefault="000F0C30" w:rsidP="000F0C30">
      <w:pPr>
        <w:jc w:val="both"/>
        <w:rPr>
          <w:b/>
          <w:lang w:val="en-GB"/>
        </w:rPr>
      </w:pPr>
      <w:r w:rsidRPr="00F13DD3">
        <w:rPr>
          <w:b/>
          <w:lang w:val="en-GB"/>
        </w:rPr>
        <w:t xml:space="preserve">Legal sources on the regional level </w:t>
      </w:r>
      <w:hyperlink r:id="rId10" w:history="1">
        <w:r w:rsidRPr="00F13DD3">
          <w:rPr>
            <w:rStyle w:val="Hyperlink"/>
            <w:lang w:val="en-GB"/>
          </w:rPr>
          <w:t>RESPECT-implementation-guide-Global-and-regional-frameworks-en.pdf (unwomen.org)</w:t>
        </w:r>
      </w:hyperlink>
      <w:r w:rsidRPr="00F13DD3">
        <w:rPr>
          <w:lang w:val="en-GB"/>
        </w:rPr>
        <w:t>.</w:t>
      </w:r>
      <w:r w:rsidRPr="00F13DD3">
        <w:rPr>
          <w:b/>
          <w:lang w:val="en-GB"/>
        </w:rPr>
        <w:t xml:space="preserve"> </w:t>
      </w:r>
    </w:p>
    <w:p w14:paraId="78C33162" w14:textId="77777777" w:rsidR="000F0C30" w:rsidRPr="00F13DD3" w:rsidRDefault="000F0C30" w:rsidP="000F0C30">
      <w:pPr>
        <w:jc w:val="both"/>
        <w:rPr>
          <w:b/>
          <w:lang w:val="en-GB"/>
        </w:rPr>
      </w:pPr>
      <w:r w:rsidRPr="00F13DD3">
        <w:rPr>
          <w:b/>
          <w:lang w:val="en-GB"/>
        </w:rPr>
        <w:t>Gender Equality St</w:t>
      </w:r>
      <w:r>
        <w:rPr>
          <w:b/>
          <w:lang w:val="en-GB"/>
        </w:rPr>
        <w:t>r</w:t>
      </w:r>
      <w:r w:rsidRPr="00F13DD3">
        <w:rPr>
          <w:b/>
          <w:lang w:val="en-GB"/>
        </w:rPr>
        <w:t xml:space="preserve">ategy of the Council of Europe: </w:t>
      </w:r>
      <w:hyperlink r:id="rId11" w:history="1">
        <w:r w:rsidRPr="00F13DD3">
          <w:rPr>
            <w:rStyle w:val="Hyperlink"/>
            <w:lang w:val="en-GB"/>
          </w:rPr>
          <w:t>16808b47e1 (coe.int)</w:t>
        </w:r>
      </w:hyperlink>
    </w:p>
    <w:p w14:paraId="734A6E44" w14:textId="77777777" w:rsidR="000F0C30" w:rsidRPr="00F13DD3" w:rsidRDefault="000F0C30" w:rsidP="000F0C30">
      <w:pPr>
        <w:jc w:val="both"/>
        <w:rPr>
          <w:b/>
          <w:lang w:val="en-GB"/>
        </w:rPr>
      </w:pPr>
      <w:r w:rsidRPr="00F13DD3">
        <w:rPr>
          <w:b/>
          <w:lang w:val="en-GB"/>
        </w:rPr>
        <w:t xml:space="preserve">Fact sheet ECHR and gender equality </w:t>
      </w:r>
      <w:hyperlink r:id="rId12" w:history="1">
        <w:proofErr w:type="spellStart"/>
        <w:r w:rsidRPr="00F13DD3">
          <w:rPr>
            <w:rStyle w:val="Hyperlink"/>
            <w:lang w:val="en-GB"/>
          </w:rPr>
          <w:t>FS_Gender_Equality_ENG</w:t>
        </w:r>
        <w:proofErr w:type="spellEnd"/>
        <w:r w:rsidRPr="00F13DD3">
          <w:rPr>
            <w:rStyle w:val="Hyperlink"/>
            <w:lang w:val="en-GB"/>
          </w:rPr>
          <w:t xml:space="preserve"> (coe.int)</w:t>
        </w:r>
      </w:hyperlink>
    </w:p>
    <w:p w14:paraId="097515AD" w14:textId="77777777" w:rsidR="000F0C30" w:rsidRDefault="000F0C30" w:rsidP="000F0C30">
      <w:pPr>
        <w:jc w:val="both"/>
        <w:rPr>
          <w:b/>
          <w:lang w:val="en-GB"/>
        </w:rPr>
      </w:pPr>
    </w:p>
    <w:p w14:paraId="6BCD41C5" w14:textId="77777777" w:rsidR="000F0C30" w:rsidRPr="00F13DD3" w:rsidRDefault="000F0C30" w:rsidP="000F0C30">
      <w:pPr>
        <w:jc w:val="both"/>
        <w:rPr>
          <w:b/>
          <w:lang w:val="en-GB"/>
        </w:rPr>
      </w:pPr>
      <w:r w:rsidRPr="00F13DD3">
        <w:rPr>
          <w:b/>
          <w:lang w:val="en-GB"/>
        </w:rPr>
        <w:t xml:space="preserve">In addition to this scenario workshops on legal remedies and prevention programmes against violence will be (could be) held. </w:t>
      </w:r>
    </w:p>
    <w:p w14:paraId="3C611E0C" w14:textId="77777777" w:rsidR="000F0C30" w:rsidRDefault="000F0C30" w:rsidP="000F0C30">
      <w:pPr>
        <w:jc w:val="both"/>
        <w:rPr>
          <w:b/>
          <w:lang w:val="en-GB"/>
        </w:rPr>
      </w:pPr>
      <w:r w:rsidRPr="00F13DD3">
        <w:rPr>
          <w:b/>
          <w:lang w:val="en-GB"/>
        </w:rPr>
        <w:t>Evaluation of promotional programmes to gender equality program</w:t>
      </w:r>
      <w:r>
        <w:rPr>
          <w:b/>
          <w:lang w:val="en-GB"/>
        </w:rPr>
        <w:t>me</w:t>
      </w:r>
      <w:r w:rsidRPr="00F13DD3">
        <w:rPr>
          <w:b/>
          <w:lang w:val="en-GB"/>
        </w:rPr>
        <w:t>s, access to such programmes.</w:t>
      </w:r>
    </w:p>
    <w:p w14:paraId="7C2D7C58" w14:textId="18A9D00A" w:rsidR="001D448E" w:rsidRPr="000F0C30" w:rsidRDefault="000F0C30" w:rsidP="000F0C30">
      <w:pPr>
        <w:jc w:val="both"/>
        <w:rPr>
          <w:b/>
          <w:lang w:val="en-GB"/>
        </w:rPr>
      </w:pPr>
      <w:r w:rsidRPr="004E1859">
        <w:rPr>
          <w:b/>
          <w:bCs/>
          <w:sz w:val="24"/>
          <w:szCs w:val="24"/>
          <w:lang w:val="en-US"/>
        </w:rPr>
        <w:t>T</w:t>
      </w:r>
      <w:r w:rsidRPr="000F0C30">
        <w:rPr>
          <w:b/>
          <w:bCs/>
          <w:color w:val="000000" w:themeColor="text1"/>
          <w:sz w:val="24"/>
          <w:szCs w:val="24"/>
          <w:lang w:val="en-US"/>
        </w:rPr>
        <w:t xml:space="preserve">he </w:t>
      </w:r>
      <w:r>
        <w:rPr>
          <w:b/>
          <w:bCs/>
          <w:color w:val="000000" w:themeColor="text1"/>
          <w:lang w:val="en-US"/>
        </w:rPr>
        <w:t>r</w:t>
      </w:r>
      <w:r w:rsidRPr="000F0C30">
        <w:rPr>
          <w:b/>
          <w:bCs/>
          <w:color w:val="000000" w:themeColor="text1"/>
          <w:sz w:val="24"/>
          <w:szCs w:val="24"/>
          <w:lang w:val="en-US"/>
        </w:rPr>
        <w:t>epresentation of women in academia and higher education management positions</w:t>
      </w:r>
      <w:r>
        <w:rPr>
          <w:b/>
          <w:bCs/>
          <w:color w:val="000000" w:themeColor="text1"/>
          <w:lang w:val="en-US"/>
        </w:rPr>
        <w:t>, see the document attached.</w:t>
      </w:r>
    </w:p>
    <w:sectPr w:rsidR="001D448E" w:rsidRPr="000F0C30">
      <w:headerReference w:type="even" r:id="rId13"/>
      <w:headerReference w:type="default" r:id="rId14"/>
      <w:footerReference w:type="even" r:id="rId15"/>
      <w:footerReference w:type="default" r:id="rId16"/>
      <w:headerReference w:type="first" r:id="rId17"/>
      <w:footerReference w:type="first" r:id="rId18"/>
      <w:pgSz w:w="11906" w:h="16838"/>
      <w:pgMar w:top="2051"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DDB62" w14:textId="77777777" w:rsidR="005F2C73" w:rsidRDefault="005F2C73">
      <w:pPr>
        <w:spacing w:after="0" w:line="240" w:lineRule="auto"/>
      </w:pPr>
      <w:r>
        <w:separator/>
      </w:r>
    </w:p>
  </w:endnote>
  <w:endnote w:type="continuationSeparator" w:id="0">
    <w:p w14:paraId="617472B8" w14:textId="77777777" w:rsidR="005F2C73" w:rsidRDefault="005F2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Roboto">
    <w:altName w:val="Arial"/>
    <w:charset w:val="00"/>
    <w:family w:val="auto"/>
    <w:pitch w:val="variable"/>
    <w:sig w:usb0="E0000AFF" w:usb1="5000217F" w:usb2="00000021"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683AF"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CD13B"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bookmarkStart w:id="1" w:name="_heading=h.gjdgxs" w:colFirst="0" w:colLast="0"/>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40B73"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7689C" w14:textId="77777777" w:rsidR="005F2C73" w:rsidRDefault="005F2C73">
      <w:pPr>
        <w:spacing w:after="0" w:line="240" w:lineRule="auto"/>
      </w:pPr>
      <w:r>
        <w:separator/>
      </w:r>
    </w:p>
  </w:footnote>
  <w:footnote w:type="continuationSeparator" w:id="0">
    <w:p w14:paraId="2EC89D48" w14:textId="77777777" w:rsidR="005F2C73" w:rsidRDefault="005F2C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72542"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9847A" w14:textId="77777777" w:rsidR="00FD60BB" w:rsidRDefault="00FD60BB">
    <w:pPr>
      <w:pBdr>
        <w:top w:val="nil"/>
        <w:left w:val="nil"/>
        <w:bottom w:val="nil"/>
        <w:right w:val="nil"/>
        <w:between w:val="nil"/>
      </w:pBdr>
      <w:tabs>
        <w:tab w:val="center" w:pos="4536"/>
        <w:tab w:val="right" w:pos="9072"/>
      </w:tabs>
      <w:spacing w:after="0" w:line="240" w:lineRule="auto"/>
      <w:ind w:hanging="567"/>
      <w:rPr>
        <w:color w:val="000000"/>
      </w:rPr>
    </w:pPr>
  </w:p>
  <w:p w14:paraId="52AC1D47" w14:textId="77777777" w:rsidR="00FD60BB" w:rsidRDefault="00FD60BB">
    <w:pPr>
      <w:pBdr>
        <w:top w:val="nil"/>
        <w:left w:val="nil"/>
        <w:bottom w:val="nil"/>
        <w:right w:val="nil"/>
        <w:between w:val="nil"/>
      </w:pBdr>
      <w:tabs>
        <w:tab w:val="center" w:pos="4536"/>
        <w:tab w:val="right" w:pos="9072"/>
      </w:tabs>
      <w:spacing w:after="0" w:line="240" w:lineRule="auto"/>
      <w:ind w:hanging="567"/>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2D0EC"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0BB"/>
    <w:rsid w:val="0001423C"/>
    <w:rsid w:val="000716DE"/>
    <w:rsid w:val="00090B61"/>
    <w:rsid w:val="000F0C30"/>
    <w:rsid w:val="001B4ED0"/>
    <w:rsid w:val="001B6505"/>
    <w:rsid w:val="001D448E"/>
    <w:rsid w:val="0026489F"/>
    <w:rsid w:val="00280C33"/>
    <w:rsid w:val="002C351E"/>
    <w:rsid w:val="002F6A31"/>
    <w:rsid w:val="003130B7"/>
    <w:rsid w:val="00372245"/>
    <w:rsid w:val="00387A62"/>
    <w:rsid w:val="005F2C73"/>
    <w:rsid w:val="00677639"/>
    <w:rsid w:val="006C2836"/>
    <w:rsid w:val="00747ED5"/>
    <w:rsid w:val="00784436"/>
    <w:rsid w:val="00796AD9"/>
    <w:rsid w:val="008328C2"/>
    <w:rsid w:val="008C2466"/>
    <w:rsid w:val="009A4F71"/>
    <w:rsid w:val="00A23A87"/>
    <w:rsid w:val="00AF00D9"/>
    <w:rsid w:val="00BA1157"/>
    <w:rsid w:val="00CB3DA8"/>
    <w:rsid w:val="00F13DD3"/>
    <w:rsid w:val="00FD60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0F6B5"/>
  <w15:docId w15:val="{C47EFD21-4CFF-4BB8-8E93-53BFD9029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de-A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0C30"/>
    <w:rPr>
      <w:rFonts w:eastAsiaTheme="minorEastAsia"/>
      <w:lang w:eastAsia="pl-PL"/>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E65FAD"/>
    <w:pPr>
      <w:tabs>
        <w:tab w:val="center" w:pos="4536"/>
        <w:tab w:val="right" w:pos="9072"/>
      </w:tabs>
      <w:spacing w:after="0" w:line="240" w:lineRule="auto"/>
    </w:pPr>
    <w:rPr>
      <w:rFonts w:eastAsiaTheme="minorHAnsi"/>
      <w:lang w:eastAsia="en-US"/>
    </w:rPr>
  </w:style>
  <w:style w:type="character" w:customStyle="1" w:styleId="HeaderChar">
    <w:name w:val="Header Char"/>
    <w:basedOn w:val="DefaultParagraphFont"/>
    <w:link w:val="Header"/>
    <w:uiPriority w:val="99"/>
    <w:rsid w:val="00E65FAD"/>
  </w:style>
  <w:style w:type="paragraph" w:styleId="Footer">
    <w:name w:val="footer"/>
    <w:basedOn w:val="Normal"/>
    <w:link w:val="FooterChar"/>
    <w:uiPriority w:val="99"/>
    <w:unhideWhenUsed/>
    <w:rsid w:val="00E65FAD"/>
    <w:pPr>
      <w:tabs>
        <w:tab w:val="center" w:pos="4536"/>
        <w:tab w:val="right" w:pos="9072"/>
      </w:tabs>
      <w:spacing w:after="0" w:line="240" w:lineRule="auto"/>
    </w:pPr>
    <w:rPr>
      <w:rFonts w:eastAsiaTheme="minorHAnsi"/>
      <w:lang w:eastAsia="en-US"/>
    </w:rPr>
  </w:style>
  <w:style w:type="character" w:customStyle="1" w:styleId="FooterChar">
    <w:name w:val="Footer Char"/>
    <w:basedOn w:val="DefaultParagraphFont"/>
    <w:link w:val="Footer"/>
    <w:uiPriority w:val="99"/>
    <w:rsid w:val="00E65FAD"/>
  </w:style>
  <w:style w:type="table" w:styleId="TableGrid">
    <w:name w:val="Table Grid"/>
    <w:basedOn w:val="TableNormal"/>
    <w:uiPriority w:val="39"/>
    <w:rsid w:val="003172F6"/>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80362"/>
    <w:pPr>
      <w:ind w:left="720"/>
      <w:contextualSpacing/>
    </w:pPr>
  </w:style>
  <w:style w:type="paragraph" w:styleId="FootnoteText">
    <w:name w:val="footnote text"/>
    <w:basedOn w:val="Normal"/>
    <w:link w:val="FootnoteTextChar"/>
    <w:uiPriority w:val="99"/>
    <w:semiHidden/>
    <w:unhideWhenUsed/>
    <w:rsid w:val="00831BCD"/>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831BCD"/>
    <w:rPr>
      <w:sz w:val="20"/>
      <w:szCs w:val="20"/>
    </w:rPr>
  </w:style>
  <w:style w:type="character" w:styleId="FootnoteReference">
    <w:name w:val="footnote reference"/>
    <w:basedOn w:val="DefaultParagraphFont"/>
    <w:uiPriority w:val="99"/>
    <w:semiHidden/>
    <w:unhideWhenUsed/>
    <w:rsid w:val="00831BCD"/>
    <w:rPr>
      <w:vertAlign w:val="superscript"/>
    </w:rPr>
  </w:style>
  <w:style w:type="character" w:customStyle="1" w:styleId="il">
    <w:name w:val="il"/>
    <w:basedOn w:val="DefaultParagraphFont"/>
    <w:rsid w:val="00831BCD"/>
  </w:style>
  <w:style w:type="paragraph" w:styleId="NormalWeb">
    <w:name w:val="Normal (Web)"/>
    <w:basedOn w:val="Normal"/>
    <w:uiPriority w:val="99"/>
    <w:unhideWhenUsed/>
    <w:rsid w:val="002D2EB1"/>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9">
    <w:name w:val="9"/>
    <w:basedOn w:val="TableNormal10"/>
    <w:pPr>
      <w:spacing w:after="0" w:line="240" w:lineRule="auto"/>
    </w:pPr>
    <w:tblPr>
      <w:tblStyleRowBandSize w:val="1"/>
      <w:tblStyleColBandSize w:val="1"/>
      <w:tblCellMar>
        <w:left w:w="108" w:type="dxa"/>
        <w:right w:w="108" w:type="dxa"/>
      </w:tblCellMar>
    </w:tblPr>
  </w:style>
  <w:style w:type="table" w:customStyle="1" w:styleId="8">
    <w:name w:val="8"/>
    <w:basedOn w:val="TableNormal10"/>
    <w:pPr>
      <w:spacing w:after="0" w:line="240" w:lineRule="auto"/>
    </w:pPr>
    <w:tblPr>
      <w:tblStyleRowBandSize w:val="1"/>
      <w:tblStyleColBandSize w:val="1"/>
      <w:tblCellMar>
        <w:left w:w="108" w:type="dxa"/>
        <w:right w:w="108" w:type="dxa"/>
      </w:tblCellMar>
    </w:tblPr>
  </w:style>
  <w:style w:type="table" w:customStyle="1" w:styleId="7">
    <w:name w:val="7"/>
    <w:basedOn w:val="TableNormal10"/>
    <w:pPr>
      <w:spacing w:after="0" w:line="240" w:lineRule="auto"/>
    </w:pPr>
    <w:tblPr>
      <w:tblStyleRowBandSize w:val="1"/>
      <w:tblStyleColBandSize w:val="1"/>
      <w:tblCellMar>
        <w:left w:w="108" w:type="dxa"/>
        <w:right w:w="108" w:type="dxa"/>
      </w:tblCellMar>
    </w:tblPr>
  </w:style>
  <w:style w:type="table" w:customStyle="1" w:styleId="6">
    <w:name w:val="6"/>
    <w:basedOn w:val="TableNormal10"/>
    <w:pPr>
      <w:spacing w:after="0" w:line="240" w:lineRule="auto"/>
    </w:pPr>
    <w:tblPr>
      <w:tblStyleRowBandSize w:val="1"/>
      <w:tblStyleColBandSize w:val="1"/>
      <w:tblCellMar>
        <w:left w:w="108" w:type="dxa"/>
        <w:right w:w="108" w:type="dxa"/>
      </w:tblCellMar>
    </w:tblPr>
  </w:style>
  <w:style w:type="table" w:customStyle="1" w:styleId="5">
    <w:name w:val="5"/>
    <w:basedOn w:val="TableNormal10"/>
    <w:pPr>
      <w:spacing w:after="0" w:line="240" w:lineRule="auto"/>
    </w:pPr>
    <w:tblPr>
      <w:tblStyleRowBandSize w:val="1"/>
      <w:tblStyleColBandSize w:val="1"/>
      <w:tblCellMar>
        <w:left w:w="108" w:type="dxa"/>
        <w:right w:w="108" w:type="dxa"/>
      </w:tblCellMar>
    </w:tblPr>
  </w:style>
  <w:style w:type="table" w:customStyle="1" w:styleId="4">
    <w:name w:val="4"/>
    <w:basedOn w:val="TableNormal10"/>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lang w:eastAsia="pl-PL"/>
    </w:rPr>
  </w:style>
  <w:style w:type="character" w:styleId="CommentReference">
    <w:name w:val="annotation reference"/>
    <w:basedOn w:val="DefaultParagraphFont"/>
    <w:uiPriority w:val="99"/>
    <w:semiHidden/>
    <w:unhideWhenUsed/>
    <w:rPr>
      <w:sz w:val="16"/>
      <w:szCs w:val="16"/>
    </w:rPr>
  </w:style>
  <w:style w:type="table" w:customStyle="1" w:styleId="3">
    <w:name w:val="3"/>
    <w:basedOn w:val="TableNormal2"/>
    <w:pPr>
      <w:spacing w:after="0" w:line="240" w:lineRule="auto"/>
    </w:pPr>
    <w:tblPr>
      <w:tblStyleRowBandSize w:val="1"/>
      <w:tblStyleColBandSize w:val="1"/>
      <w:tblCellMar>
        <w:left w:w="108" w:type="dxa"/>
        <w:right w:w="108" w:type="dxa"/>
      </w:tblCellMar>
    </w:tblPr>
  </w:style>
  <w:style w:type="table" w:customStyle="1" w:styleId="2">
    <w:name w:val="2"/>
    <w:basedOn w:val="TableNormal2"/>
    <w:pPr>
      <w:spacing w:after="0" w:line="240" w:lineRule="auto"/>
    </w:pPr>
    <w:tblPr>
      <w:tblStyleRowBandSize w:val="1"/>
      <w:tblStyleColBandSize w:val="1"/>
      <w:tblCellMar>
        <w:left w:w="108" w:type="dxa"/>
        <w:right w:w="108" w:type="dxa"/>
      </w:tblCellMar>
    </w:tblPr>
  </w:style>
  <w:style w:type="table" w:customStyle="1" w:styleId="1">
    <w:name w:val="1"/>
    <w:basedOn w:val="TableNormal2"/>
    <w:pPr>
      <w:spacing w:after="0" w:line="240" w:lineRule="auto"/>
    </w:pPr>
    <w:tblPr>
      <w:tblStyleRowBandSize w:val="1"/>
      <w:tblStyleColBandSize w:val="1"/>
      <w:tblCellMar>
        <w:left w:w="108" w:type="dxa"/>
        <w:right w:w="108" w:type="dxa"/>
      </w:tblCellMar>
    </w:tblPr>
  </w:style>
  <w:style w:type="character" w:styleId="Hyperlink">
    <w:name w:val="Hyperlink"/>
    <w:basedOn w:val="DefaultParagraphFont"/>
    <w:uiPriority w:val="99"/>
    <w:semiHidden/>
    <w:unhideWhenUsed/>
    <w:rsid w:val="008C2466"/>
    <w:rPr>
      <w:color w:val="0000FF"/>
      <w:u w:val="single"/>
    </w:rPr>
  </w:style>
  <w:style w:type="paragraph" w:customStyle="1" w:styleId="Default">
    <w:name w:val="Default"/>
    <w:rsid w:val="000F0C30"/>
    <w:pPr>
      <w:autoSpaceDE w:val="0"/>
      <w:autoSpaceDN w:val="0"/>
      <w:adjustRightInd w:val="0"/>
      <w:spacing w:after="0" w:line="240" w:lineRule="auto"/>
    </w:pPr>
    <w:rPr>
      <w:color w:val="000000"/>
      <w:sz w:val="24"/>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872173">
      <w:bodyDiv w:val="1"/>
      <w:marLeft w:val="0"/>
      <w:marRight w:val="0"/>
      <w:marTop w:val="0"/>
      <w:marBottom w:val="0"/>
      <w:divBdr>
        <w:top w:val="none" w:sz="0" w:space="0" w:color="auto"/>
        <w:left w:val="none" w:sz="0" w:space="0" w:color="auto"/>
        <w:bottom w:val="none" w:sz="0" w:space="0" w:color="auto"/>
        <w:right w:val="none" w:sz="0" w:space="0" w:color="auto"/>
      </w:divBdr>
      <w:divsChild>
        <w:div w:id="68513576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en/global-issues/gender-equality"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unwomen.org/en/what-we-do/ending-violence-against-women/global-norms-and-standards" TargetMode="External"/><Relationship Id="rId12" Type="http://schemas.openxmlformats.org/officeDocument/2006/relationships/hyperlink" Target="https://www.echr.coe.int/documents/d/echr/FS_Gender_Equality_EN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m.coe.int/prems-093618-gbr-gender-equality-strategy-2023-web-a5/16808b47e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unwomen.org/sites/default/files/Headquarters/Attachments/Sections/Library/Publications/2020/RESPECT-implementation-guide-Global-and-regional-frameworks-en.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8YrL9ZS9dlg"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J2238fMQ1Fi4i5a/ZJqAmFMqaA==">AMUW2mVBAfHCCukG0cPXx9srX7WW7oTLR1LgwmFfpV0xvSS6bDVdBpj+sqBLCHkcLsWQ6wRZw7vkcwI4mCu3qFFhhRVWH+AG6pV3dnOqqNJf5V0sSUia3BIypaDqnCpE8VIgVfH1XFaX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924</Words>
  <Characters>5271</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PLUS</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Margiel</dc:creator>
  <cp:keywords/>
  <dc:description/>
  <cp:lastModifiedBy>Marina Appiou Nikiforou</cp:lastModifiedBy>
  <cp:revision>2</cp:revision>
  <dcterms:created xsi:type="dcterms:W3CDTF">2024-03-18T12:32:00Z</dcterms:created>
  <dcterms:modified xsi:type="dcterms:W3CDTF">2024-03-18T12:32:00Z</dcterms:modified>
</cp:coreProperties>
</file>